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right="-1"/>
        <w:rPr>
          <w:rFonts w:ascii="Times New Roman" w:hAnsi="Times New Roman"/>
          <w:b w:val="1"/>
          <w:sz w:val="24"/>
        </w:rPr>
      </w:pPr>
    </w:p>
    <w:p w14:paraId="02000000">
      <w:pPr>
        <w:spacing w:after="0" w:line="365" w:lineRule="exact"/>
        <w:ind w:right="1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3000000">
      <w:pPr>
        <w:spacing w:after="0" w:line="365" w:lineRule="exact"/>
        <w:ind w:right="2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УСТЬ-ПИТСКОГО  СЕЛЬСОВЕТА</w:t>
      </w:r>
    </w:p>
    <w:p w14:paraId="04000000">
      <w:pPr>
        <w:spacing w:after="0" w:line="365" w:lineRule="exact"/>
        <w:ind w:right="1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ЕНИСЕЙСКОГО РАЙОНА</w:t>
      </w:r>
    </w:p>
    <w:p w14:paraId="05000000">
      <w:pPr>
        <w:spacing w:after="0" w:line="365" w:lineRule="exact"/>
        <w:ind w:right="1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КРАСНОЯРСКОГО КРАЯ</w:t>
      </w:r>
    </w:p>
    <w:p w14:paraId="06000000">
      <w:pPr>
        <w:spacing w:after="0" w:before="36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pacing w:val="-20"/>
          <w:sz w:val="24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08.11.2023 г.                                        с.Усть-Пит                                          №  50- п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одобрении прогноза социально-экономического развития 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Усть-Питский сельсовет Енисейского района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Красноярского края на 2024-2026 годы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статьей 184.2 Бюджетного кодекса Российской Федерации, Решением Усть-Питского сельского Совета депутатов от 24.10.2013  № 7-4р «Об утверждении Положения о бюджетном процессе в Усть-Питском сельсовете», в ред. от 25.09.2015 № 1-3р, от 12.05.2016 № 5-1р, от 30.07.2017 № 7-1р от 22.07.2019 № 7-1 р, ПОСТАНОВЛЯЮ</w:t>
      </w:r>
      <w:r>
        <w:rPr>
          <w:rFonts w:ascii="Times New Roman" w:hAnsi="Times New Roman"/>
          <w:b w:val="1"/>
          <w:sz w:val="24"/>
        </w:rPr>
        <w:t>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1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Одобрить Прогноз социально-экономического развития муниципального образования Усть-Питский  сельсовет Енисейского района Красноярского края на 2024-2026 годы (далее-Прогноз) (прилагается).</w:t>
      </w:r>
    </w:p>
    <w:p w14:paraId="12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Принять Прогноз за основу для разработки проекта бюджета Усть-Питского сельсовета на 2023 год.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  Опубликовать настоящее постановление в официальном печатном издании «Усть-Питский вестник» и разместить в сети Интернет на официальном Интернет-сайтеадминистрации Усть-Питского сельсовета.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     4. Постановление вступает в силу с момента подписания.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5. Контроль за исполнением настоящего постановления  оставляю за собой.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Усть-Питского  сельсовета                                                                   В.В. Семенов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Приложение к постановлению</w:t>
      </w:r>
    </w:p>
    <w:p w14:paraId="2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администрации Уст-Питского</w:t>
      </w:r>
    </w:p>
    <w:p w14:paraId="2B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сельсовета </w:t>
      </w:r>
    </w:p>
    <w:p w14:paraId="2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от 08.11.2023г. № 50-п.</w:t>
      </w:r>
    </w:p>
    <w:p w14:paraId="2D00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</w:p>
    <w:p w14:paraId="2E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ПРОГНОЗ</w:t>
      </w:r>
    </w:p>
    <w:p w14:paraId="2F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30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социально-экономического развития</w:t>
      </w:r>
    </w:p>
    <w:p w14:paraId="3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32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муниципального образования Усть-Питский  сельсовет</w:t>
      </w:r>
    </w:p>
    <w:p w14:paraId="33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34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2024 -  2026 годы</w:t>
      </w:r>
    </w:p>
    <w:p w14:paraId="3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социально-экономического развития Усть-Питского  сельсовета на 2024-2026 годы разработан в соответствии с постановлением главы Усть-Питского сельсовета от 01.11.2018г. № 21-п “Об утверждении Порядка составления проекта бюджета  Усть-Питского сельсовета на очередной финансовый год и планируемый период».</w:t>
      </w:r>
    </w:p>
    <w:p w14:paraId="3900000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14:paraId="3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Красноярского края,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Енисейского муниципального района, Усть-Питского  сельсовета на экономические и социальные процессы, происходящие на территории  Усть-Питского  сельсовета.</w:t>
      </w:r>
    </w:p>
    <w:p w14:paraId="3B00000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Красноярского края, Енисейского района,  Усть-Питского сельсовета. При подготовке прогнозных материалов учитывался прогноз развития экономики Енисейского муниципального района</w:t>
      </w:r>
    </w:p>
    <w:p w14:paraId="3C000000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администрации Усть-Питского сельсовета будет направлена на сосредоточение усилий в решении главных задач: признания территории Усть-Питского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14:paraId="3D000000">
      <w:pPr>
        <w:spacing w:after="0" w:line="240" w:lineRule="auto"/>
        <w:ind/>
        <w:contextualSpacing w:val="1"/>
        <w:rPr>
          <w:rFonts w:ascii="Arial" w:hAnsi="Arial"/>
          <w:sz w:val="24"/>
        </w:rPr>
      </w:pPr>
    </w:p>
    <w:p w14:paraId="3E000000">
      <w:pPr>
        <w:spacing w:after="0" w:line="240" w:lineRule="auto"/>
        <w:ind/>
        <w:contextualSpacing w:val="1"/>
        <w:jc w:val="center"/>
        <w:rPr>
          <w:rFonts w:ascii="Arial" w:hAnsi="Arial"/>
          <w:sz w:val="24"/>
        </w:rPr>
      </w:pPr>
    </w:p>
    <w:p w14:paraId="3F000000">
      <w:pPr>
        <w:numPr>
          <w:ilvl w:val="0"/>
          <w:numId w:val="2"/>
        </w:num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показатели</w:t>
      </w:r>
    </w:p>
    <w:p w14:paraId="40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08"/>
        <w:gridCol w:w="140"/>
        <w:gridCol w:w="846"/>
        <w:gridCol w:w="1134"/>
        <w:gridCol w:w="1276"/>
        <w:gridCol w:w="1275"/>
        <w:gridCol w:w="1276"/>
      </w:tblGrid>
      <w:tr>
        <w:trPr>
          <w:trHeight w:hRule="atLeast" w:val="1570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  <w:p w14:paraId="42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  <w:p w14:paraId="45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оценка</w:t>
            </w:r>
          </w:p>
          <w:p w14:paraId="47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14:paraId="49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(прогноз)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2025    (прогноз)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(прогноз)</w:t>
            </w:r>
          </w:p>
        </w:tc>
      </w:tr>
      <w:tr>
        <w:trPr>
          <w:trHeight w:hRule="atLeast" w:val="413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муниципального образования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4,232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4,232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площадьлесногофонда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Сельхозугодия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Общаяплощадьземельпоселений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Населённые пункты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постоянного населения на конец года, в том числе: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трудоспособномвозрасте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263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старшетрудоспособноговозраста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Показательрождаемости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Показательсмертности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Численностьофициальнозарегистрированныхбезработных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10790,6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10790,6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10790,6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10790,6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муниципального  жилищного фонда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муниципального нежилого фонда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320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используемаядля: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производственныхнужд</w:t>
            </w:r>
          </w:p>
          <w:p w14:paraId="B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  <w:p w14:paraId="B4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B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социальныхнужд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культурно-развлекательныхнужд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120" w:line="240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Промышленность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Числопредприятийпроизводственнойсферы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Числопредприятий</w:t>
            </w:r>
          </w:p>
          <w:p w14:paraId="D9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непроизводственнойсферы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Сельскоехозяйство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Числосельскохозяйственныхпредприятий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Среднегодоваячисленностьработающих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Сельхозугодиявсего: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томчислепашня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Произведеномолока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Выращено мяса в живом весе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23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Произведенозерна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12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Произведеноовощей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12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в закрытом грунте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12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Выручка от реализации сельхозпродукции, товаров и услуг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12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Строительство,  и капитальныйремонт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- количество выданных разрешений на строительство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120" w:line="240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</w:t>
            </w:r>
          </w:p>
          <w:p w14:paraId="32010000">
            <w:pPr>
              <w:spacing w:after="120" w:line="240" w:lineRule="exact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0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Протяженностьдорожнойсети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 улучшенным покрытием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Протяженностьуличнойдорожнойсети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уличной дорожной сети с улучшенным покрытием</w:t>
            </w:r>
          </w:p>
          <w:p w14:paraId="4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120" w:line="240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Развитиемалогопредпринимательства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объектов малого и среднего предпринимательства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количестволичныхподсобныххозяйств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Коммунальноехозяйство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Квартальныекотельные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Протяженностьуличныхтепловыхсетей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Водозаборныенасосныестанции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Протяженностьуличнойводопроводнойсети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Канализационныенасосныестанции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Очистныесооружения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Протяжениеуличнойканализационнойсети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имеющие разводящие газовые сети низкого давления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имеющиеуличноеосвещение</w:t>
            </w:r>
          </w:p>
          <w:p w14:paraId="9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Потребительский рынок товаров и </w:t>
            </w:r>
          </w:p>
          <w:p w14:paraId="A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90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Объём подаваемой в сеть воды 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120" w:line="240" w:lineRule="exac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м.куб.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Объёмпотребляемогоприродногогаза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120" w:line="240" w:lineRule="exac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м.куб.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Объёмпотребляемогосжиженногогаза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120" w:line="240" w:lineRule="exac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кг..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Уголь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Дрова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Вывоз ТБО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Местазахоронения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площадь всех форм собственности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10600,0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оборудованныеводопроводом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оборудованныеканализацией.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оборудованныегазобаллоннымиустановками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 индивидуальные угольными котлами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оборудованныепечнымотоплением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Дошкольныеучреждения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детей, посещающих                     дошкольные учреждения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Наличиеобщеобразовательныхшкол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Численностьучащихсяобщеобразовательныхшкол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Здравоохранение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первичного медицинского обслуживания (ФАП)</w:t>
            </w:r>
          </w:p>
          <w:p w14:paraId="21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Численностьфельдшеров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12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 (магазины) розничнойторговли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12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38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Почтовые отделения ФГУП «Почта России»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Количествостанций АТС                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абонентов телефонной сети общего пользования           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Домакультуры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массовый спорт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Стадионы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детских и спортивных площадок                        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  <w:p w14:paraId="73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Исполнениебюджетапоселения: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бюджета, всего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9775,6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901</w:t>
            </w: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r>
              <w:t>8378,4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r>
              <w:t>8297,2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r>
              <w:t>699,4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r>
              <w:t>581,9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r>
              <w:t>576,1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>
            <w:r>
              <w:t>589,3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r>
              <w:t>9076,2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>
            <w:r>
              <w:t>8432,4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r>
              <w:t>7802,3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r>
              <w:t>7707,9</w:t>
            </w:r>
          </w:p>
        </w:tc>
      </w:tr>
      <w:tr>
        <w:trPr>
          <w:trHeight w:hRule="atLeast" w:val="490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бюджета, всего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r>
              <w:t>9903,7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r>
              <w:t>9014,3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r>
              <w:t>8378,4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>
            <w:r>
              <w:t>8297,2</w:t>
            </w:r>
          </w:p>
        </w:tc>
      </w:tr>
      <w:tr>
        <w:trPr>
          <w:trHeight w:hRule="atLeast" w:val="470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Гашение кредита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r>
              <w:t>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r>
              <w:t>0,0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 бюджета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rPr>
                <w:color w:val="000000"/>
              </w:rPr>
            </w:pPr>
            <w:r>
              <w:rPr>
                <w:color w:val="000000"/>
              </w:rPr>
              <w:t>128,1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A2020000">
      <w:pPr>
        <w:spacing w:after="0" w:line="240" w:lineRule="auto"/>
        <w:ind/>
        <w:jc w:val="center"/>
        <w:outlineLvl w:val="0"/>
        <w:rPr>
          <w:rFonts w:ascii="Arial" w:hAnsi="Arial"/>
          <w:b w:val="1"/>
          <w:sz w:val="24"/>
        </w:rPr>
      </w:pPr>
    </w:p>
    <w:p w14:paraId="A3020000">
      <w:pPr>
        <w:spacing w:after="0" w:line="240" w:lineRule="auto"/>
        <w:ind/>
        <w:jc w:val="center"/>
        <w:outlineLvl w:val="0"/>
        <w:rPr>
          <w:rFonts w:ascii="Arial" w:hAnsi="Arial"/>
          <w:b w:val="1"/>
          <w:sz w:val="24"/>
        </w:rPr>
      </w:pPr>
    </w:p>
    <w:p w14:paraId="A4020000">
      <w:pPr>
        <w:spacing w:after="0" w:line="240" w:lineRule="auto"/>
        <w:ind/>
        <w:outlineLvl w:val="0"/>
        <w:rPr>
          <w:rFonts w:ascii="Arial" w:hAnsi="Arial"/>
          <w:b w:val="1"/>
          <w:sz w:val="24"/>
        </w:rPr>
      </w:pPr>
    </w:p>
    <w:p w14:paraId="A5020000">
      <w:pPr>
        <w:spacing w:after="0" w:line="240" w:lineRule="auto"/>
        <w:ind/>
        <w:outlineLvl w:val="0"/>
        <w:rPr>
          <w:rFonts w:ascii="Arial" w:hAnsi="Arial"/>
          <w:b w:val="1"/>
          <w:sz w:val="24"/>
        </w:rPr>
      </w:pPr>
    </w:p>
    <w:p w14:paraId="A6020000">
      <w:pPr>
        <w:spacing w:after="0" w:line="240" w:lineRule="auto"/>
        <w:ind/>
        <w:outlineLvl w:val="0"/>
        <w:rPr>
          <w:rFonts w:ascii="Arial" w:hAnsi="Arial"/>
          <w:b w:val="1"/>
          <w:sz w:val="24"/>
        </w:rPr>
      </w:pPr>
    </w:p>
    <w:p w14:paraId="A7020000">
      <w:pPr>
        <w:spacing w:after="0" w:line="240" w:lineRule="auto"/>
        <w:ind/>
        <w:outlineLvl w:val="0"/>
        <w:rPr>
          <w:rFonts w:ascii="Arial" w:hAnsi="Arial"/>
          <w:b w:val="1"/>
          <w:sz w:val="24"/>
        </w:rPr>
      </w:pPr>
    </w:p>
    <w:p w14:paraId="A8020000">
      <w:pPr>
        <w:spacing w:after="0" w:line="240" w:lineRule="auto"/>
        <w:ind/>
        <w:outlineLvl w:val="0"/>
        <w:rPr>
          <w:rFonts w:ascii="Arial" w:hAnsi="Arial"/>
          <w:b w:val="1"/>
          <w:sz w:val="24"/>
        </w:rPr>
      </w:pPr>
    </w:p>
    <w:p w14:paraId="A9020000">
      <w:pPr>
        <w:spacing w:after="0" w:line="240" w:lineRule="auto"/>
        <w:ind/>
        <w:outlineLvl w:val="0"/>
        <w:rPr>
          <w:rFonts w:ascii="Arial" w:hAnsi="Arial"/>
          <w:b w:val="1"/>
          <w:sz w:val="24"/>
        </w:rPr>
      </w:pPr>
    </w:p>
    <w:p w14:paraId="AA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AB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AC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AD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AE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AF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0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1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2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3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4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5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6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7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8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9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A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B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C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D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E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BF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0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1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2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3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4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5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6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7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8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9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A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B02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CC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прогнозу социально-экономического развития</w:t>
      </w:r>
    </w:p>
    <w:p w14:paraId="CD02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Усть-Питский сельсовет</w:t>
      </w:r>
    </w:p>
    <w:p w14:paraId="CE02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2024-  2026 годы</w:t>
      </w:r>
    </w:p>
    <w:p w14:paraId="C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002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социально-экономического развития Усть-Питского сельсовета на 2024-2026 года разработан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Енисейского района. При разработке прогноза использованы Методические рекомендации по разработке показателей разделов прогноза социально-экономического развития территории сельсовета, с использованием индексов – дефляторов по основным показателям прогноза социально- экономического развития Красноярского края на 2024-2026 гг. При этом учитывался эффект от реализации антикризисных мер, направленных на оздоровление экономики села.</w:t>
      </w:r>
    </w:p>
    <w:p w14:paraId="D1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малого предпринимательства и самозанятости населения.</w:t>
      </w:r>
    </w:p>
    <w:p w14:paraId="D202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14:paraId="D302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D402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Территория муниципального образования</w:t>
      </w:r>
    </w:p>
    <w:p w14:paraId="D5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D602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Территория  Усть-Питского сельсовета входит в состав Енисейского района  и расположена в центральной его  части. </w:t>
      </w:r>
    </w:p>
    <w:p w14:paraId="D702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14:paraId="D802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Административный центр сельского поселения село Усть-Пит, расположен  в 91 км.от г. Енисейска – административного центра муниципального района. </w:t>
      </w:r>
    </w:p>
    <w:p w14:paraId="D9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состав поселения входят также  п. Шишмарево</w:t>
      </w:r>
    </w:p>
    <w:p w14:paraId="DA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принадлежит к категории удаленной и труднодоступной территории.</w:t>
      </w:r>
    </w:p>
    <w:p w14:paraId="D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Площадь  поселения составляет 4,232 кв.км., площадь земель поселения 0,34 кв.км. </w:t>
      </w:r>
    </w:p>
    <w:p w14:paraId="D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поселения  протекает  река  Большой Пит,  который возле с. Усть-Пит  впадает в реку Енисей.</w:t>
      </w:r>
    </w:p>
    <w:p w14:paraId="DD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На территории сельского поселения проживает</w:t>
      </w:r>
      <w:r>
        <w:rPr>
          <w:rFonts w:ascii="Times New Roman" w:hAnsi="Times New Roman"/>
          <w:sz w:val="24"/>
        </w:rPr>
        <w:t xml:space="preserve">  23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человек.</w:t>
      </w:r>
    </w:p>
    <w:p w14:paraId="DE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DF02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Население муниципального образования</w:t>
      </w:r>
    </w:p>
    <w:p w14:paraId="E0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1020000">
      <w:pPr>
        <w:tabs>
          <w:tab w:leader="none" w:pos="4820" w:val="left"/>
        </w:tabs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Социально-экономическое развитие  Усть-Питского  сельского поселения  определяется совокупностью внешних и внутренних условий, одним из которых является демографическая ситуация. </w:t>
      </w:r>
    </w:p>
    <w:p w14:paraId="E202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1 января 2023 года постоянная численность населения составила </w:t>
      </w:r>
      <w:r>
        <w:rPr>
          <w:rFonts w:ascii="Times New Roman" w:hAnsi="Times New Roman"/>
          <w:sz w:val="24"/>
        </w:rPr>
        <w:t>230</w:t>
      </w:r>
      <w:r>
        <w:rPr>
          <w:rFonts w:ascii="Times New Roman" w:hAnsi="Times New Roman"/>
          <w:sz w:val="24"/>
        </w:rPr>
        <w:t xml:space="preserve"> чел.</w:t>
      </w:r>
    </w:p>
    <w:p w14:paraId="E302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1 января 2024 года постоянная численность населения составила</w:t>
      </w:r>
      <w:r>
        <w:rPr>
          <w:rFonts w:ascii="Times New Roman" w:hAnsi="Times New Roman"/>
          <w:sz w:val="24"/>
        </w:rPr>
        <w:t xml:space="preserve"> 230</w:t>
      </w:r>
      <w:r>
        <w:rPr>
          <w:rFonts w:ascii="Times New Roman" w:hAnsi="Times New Roman"/>
          <w:sz w:val="24"/>
        </w:rPr>
        <w:t xml:space="preserve"> чел. </w:t>
      </w:r>
    </w:p>
    <w:p w14:paraId="E402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демографических показателей и показателей труда  наблюдается  положительная  динамика.  Вместе с тем наметился небольшой рост снижения показателя смертности населения. Улучшение показателей  происходит за счёт  улучшения инфраструктуры в некоторых населенных пунктах и в целом по поселению.</w:t>
      </w:r>
    </w:p>
    <w:p w14:paraId="E502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Уровень официально зарегистрированной безработицы в сельском поселении составил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2,2 %  трудоспособного  населения. </w:t>
      </w:r>
    </w:p>
    <w:p w14:paraId="E602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численность безработных в 2023 году  прогнозируется в 12 человек. </w:t>
      </w:r>
    </w:p>
    <w:p w14:paraId="E7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тем, что на территории нет промышленных предприятий, часть лиц трудоспособного возраста, обладающих определенным опытом и профессионализмом, выезжает на постоянную или сезонную работу в г. Енисейск или устраиваются на работу вахтовым методом. </w:t>
      </w:r>
    </w:p>
    <w:p w14:paraId="E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жителей трудоспособного возраста, нигде официально не трудоустроенных, 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Также население занимается сбором грибов, ягод, охотой и рыбной ловлей.</w:t>
      </w:r>
    </w:p>
    <w:p w14:paraId="E9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A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жилищного фонда  в Усть-Питском  сельсовете 3,6 тыс. кв.м. Площадь частного жилищного фонда составляет 7 тыс. кв.м. </w:t>
      </w:r>
    </w:p>
    <w:p w14:paraId="E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C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Инвестиции</w:t>
      </w:r>
    </w:p>
    <w:p w14:paraId="ED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Прогноз социально-экономического развития  Усть-Питского сельсовета на 2023 год и на период до 2024-2025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14:paraId="E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14:paraId="F0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общего объема инвестиций  в виде фонда финансовой поддержки за 2023год составила – </w:t>
      </w:r>
      <w:r>
        <w:rPr>
          <w:rFonts w:ascii="Times New Roman" w:hAnsi="Times New Roman"/>
          <w:sz w:val="24"/>
        </w:rPr>
        <w:t>9066,2</w:t>
      </w:r>
      <w:r>
        <w:rPr>
          <w:rFonts w:ascii="Times New Roman" w:hAnsi="Times New Roman"/>
          <w:sz w:val="24"/>
        </w:rPr>
        <w:t xml:space="preserve">  тыс. рублей, в т. ч. федеральный бюджет в виде субвенции в сумме –   </w:t>
      </w:r>
      <w:r>
        <w:rPr>
          <w:rFonts w:ascii="Times New Roman" w:hAnsi="Times New Roman"/>
          <w:sz w:val="24"/>
        </w:rPr>
        <w:t xml:space="preserve">81,0 </w:t>
      </w:r>
      <w:r>
        <w:rPr>
          <w:rFonts w:ascii="Times New Roman" w:hAnsi="Times New Roman"/>
          <w:sz w:val="24"/>
        </w:rPr>
        <w:t xml:space="preserve">тыс. рублей,  краевой бюджет в виде дотации и субсидии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1404,2</w:t>
      </w:r>
      <w:r>
        <w:rPr>
          <w:rFonts w:ascii="Times New Roman" w:hAnsi="Times New Roman"/>
          <w:sz w:val="24"/>
        </w:rPr>
        <w:t xml:space="preserve">тыс. рублей, районный бюджет в виде прочих межбюджетных трансфертов – </w:t>
      </w:r>
      <w:r>
        <w:rPr>
          <w:rFonts w:ascii="Times New Roman" w:hAnsi="Times New Roman"/>
          <w:sz w:val="24"/>
        </w:rPr>
        <w:t>7581,0</w:t>
      </w:r>
      <w:r>
        <w:rPr>
          <w:rFonts w:ascii="Times New Roman" w:hAnsi="Times New Roman"/>
          <w:sz w:val="24"/>
        </w:rPr>
        <w:t xml:space="preserve"> тыс. рублей. Собственные средства в виде налогов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составило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7,15</w:t>
      </w:r>
      <w:r>
        <w:rPr>
          <w:rFonts w:ascii="Times New Roman" w:hAnsi="Times New Roman"/>
          <w:color w:val="000000"/>
          <w:sz w:val="24"/>
        </w:rPr>
        <w:t>%, или  6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9,4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тыс. рублей. </w:t>
      </w:r>
    </w:p>
    <w:p w14:paraId="F1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2024 году  прогноз объема инвестиций составит-</w:t>
      </w:r>
      <w:r>
        <w:rPr>
          <w:rFonts w:ascii="Times New Roman" w:hAnsi="Times New Roman"/>
          <w:sz w:val="24"/>
        </w:rPr>
        <w:t>8432,4</w:t>
      </w:r>
      <w:r>
        <w:rPr>
          <w:rFonts w:ascii="Times New Roman" w:hAnsi="Times New Roman"/>
          <w:sz w:val="24"/>
        </w:rPr>
        <w:t xml:space="preserve">тыс. рублей, в т. ч. федеральный бюджет- </w:t>
      </w:r>
      <w:r>
        <w:rPr>
          <w:rFonts w:ascii="Times New Roman" w:hAnsi="Times New Roman"/>
          <w:sz w:val="24"/>
        </w:rPr>
        <w:t>92,4</w:t>
      </w:r>
      <w:r>
        <w:rPr>
          <w:rFonts w:ascii="Times New Roman" w:hAnsi="Times New Roman"/>
          <w:sz w:val="24"/>
        </w:rPr>
        <w:t xml:space="preserve">тыс. рублей, краевой бюджет – </w:t>
      </w:r>
      <w:r>
        <w:rPr>
          <w:rFonts w:ascii="Times New Roman" w:hAnsi="Times New Roman"/>
          <w:sz w:val="24"/>
        </w:rPr>
        <w:t>288,5</w:t>
      </w:r>
      <w:r>
        <w:rPr>
          <w:rFonts w:ascii="Times New Roman" w:hAnsi="Times New Roman"/>
          <w:sz w:val="24"/>
        </w:rPr>
        <w:t xml:space="preserve"> тыс. рублей, районный бюджет- </w:t>
      </w:r>
      <w:r>
        <w:rPr>
          <w:rFonts w:ascii="Times New Roman" w:hAnsi="Times New Roman"/>
          <w:sz w:val="24"/>
        </w:rPr>
        <w:t>2881,1</w:t>
      </w:r>
      <w:r>
        <w:rPr>
          <w:rFonts w:ascii="Times New Roman" w:hAnsi="Times New Roman"/>
          <w:sz w:val="24"/>
        </w:rPr>
        <w:t xml:space="preserve"> тыс. рублей. Сбалансированность бюджетов- </w:t>
      </w:r>
      <w:r>
        <w:rPr>
          <w:rFonts w:ascii="Times New Roman" w:hAnsi="Times New Roman"/>
          <w:sz w:val="24"/>
        </w:rPr>
        <w:t>5170,4</w:t>
      </w:r>
      <w:r>
        <w:rPr>
          <w:rFonts w:ascii="Times New Roman" w:hAnsi="Times New Roman"/>
          <w:sz w:val="24"/>
        </w:rPr>
        <w:t xml:space="preserve"> тыс.руб. Собственные средства в виде налогов составят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6,5</w:t>
      </w:r>
      <w:r>
        <w:rPr>
          <w:rFonts w:ascii="Times New Roman" w:hAnsi="Times New Roman"/>
          <w:sz w:val="24"/>
        </w:rPr>
        <w:t xml:space="preserve">  %, или   </w:t>
      </w:r>
      <w:r>
        <w:rPr>
          <w:rFonts w:ascii="Times New Roman" w:hAnsi="Times New Roman"/>
          <w:sz w:val="24"/>
        </w:rPr>
        <w:t>581,9</w:t>
      </w:r>
      <w:r>
        <w:rPr>
          <w:rFonts w:ascii="Times New Roman" w:hAnsi="Times New Roman"/>
          <w:sz w:val="24"/>
        </w:rPr>
        <w:t xml:space="preserve"> тыс. рублей.</w:t>
      </w:r>
    </w:p>
    <w:p w14:paraId="F2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Прогноз на  2025 год: объема инвестиций планируется в сумме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7802,3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тыс. рублей, в т. ч. федеральный бюджет-  </w:t>
      </w:r>
      <w:r>
        <w:rPr>
          <w:rFonts w:ascii="Times New Roman" w:hAnsi="Times New Roman"/>
          <w:sz w:val="24"/>
        </w:rPr>
        <w:t>96,2</w:t>
      </w:r>
      <w:r>
        <w:rPr>
          <w:rFonts w:ascii="Times New Roman" w:hAnsi="Times New Roman"/>
          <w:sz w:val="24"/>
        </w:rPr>
        <w:t>тыс. рублей, краевой–</w:t>
      </w:r>
      <w:r>
        <w:rPr>
          <w:rFonts w:ascii="Times New Roman" w:hAnsi="Times New Roman"/>
          <w:sz w:val="24"/>
        </w:rPr>
        <w:t xml:space="preserve"> 230,8</w:t>
      </w:r>
      <w:r>
        <w:rPr>
          <w:rFonts w:ascii="Times New Roman" w:hAnsi="Times New Roman"/>
          <w:sz w:val="24"/>
        </w:rPr>
        <w:t>тыс. рублей, районный –</w:t>
      </w:r>
      <w:r>
        <w:rPr>
          <w:rFonts w:ascii="Times New Roman" w:hAnsi="Times New Roman"/>
          <w:sz w:val="24"/>
        </w:rPr>
        <w:t>2304,9</w:t>
      </w:r>
      <w:r>
        <w:rPr>
          <w:rFonts w:ascii="Times New Roman" w:hAnsi="Times New Roman"/>
          <w:sz w:val="24"/>
        </w:rPr>
        <w:t xml:space="preserve">тыс. рублей, сбалансированность бюджетов – </w:t>
      </w:r>
      <w:r>
        <w:rPr>
          <w:rFonts w:ascii="Times New Roman" w:hAnsi="Times New Roman"/>
          <w:sz w:val="24"/>
        </w:rPr>
        <w:t>5170,4</w:t>
      </w:r>
      <w:r>
        <w:rPr>
          <w:rFonts w:ascii="Times New Roman" w:hAnsi="Times New Roman"/>
          <w:sz w:val="24"/>
        </w:rPr>
        <w:t>тыс.руб. Собственные средства в виде налогов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6,9</w:t>
      </w:r>
      <w:r>
        <w:rPr>
          <w:rFonts w:ascii="Times New Roman" w:hAnsi="Times New Roman"/>
          <w:sz w:val="24"/>
        </w:rPr>
        <w:t xml:space="preserve"> %, или  </w:t>
      </w:r>
      <w:r>
        <w:rPr>
          <w:rFonts w:ascii="Times New Roman" w:hAnsi="Times New Roman"/>
          <w:sz w:val="24"/>
        </w:rPr>
        <w:t>576,1</w:t>
      </w:r>
      <w:r>
        <w:rPr>
          <w:rFonts w:ascii="Times New Roman" w:hAnsi="Times New Roman"/>
          <w:sz w:val="24"/>
        </w:rPr>
        <w:t xml:space="preserve"> тыс. рублей.                          </w:t>
      </w:r>
    </w:p>
    <w:p w14:paraId="F302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Прогноз на  2026 год: объема инвестиций планируется в сумме- </w:t>
      </w:r>
      <w:r>
        <w:rPr>
          <w:rFonts w:ascii="Times New Roman" w:hAnsi="Times New Roman"/>
          <w:sz w:val="24"/>
        </w:rPr>
        <w:t>7707,9</w:t>
      </w:r>
      <w:r>
        <w:rPr>
          <w:rFonts w:ascii="Times New Roman" w:hAnsi="Times New Roman"/>
          <w:sz w:val="24"/>
        </w:rPr>
        <w:t xml:space="preserve"> тыс. рублей, в т. ч. федеральный бюджет- </w:t>
      </w:r>
      <w:r>
        <w:rPr>
          <w:rFonts w:ascii="Times New Roman" w:hAnsi="Times New Roman"/>
          <w:sz w:val="24"/>
        </w:rPr>
        <w:t>1,8</w:t>
      </w:r>
      <w:r>
        <w:rPr>
          <w:rFonts w:ascii="Times New Roman" w:hAnsi="Times New Roman"/>
          <w:sz w:val="24"/>
        </w:rPr>
        <w:t>тыс. рублей, краевой –</w:t>
      </w:r>
      <w:r>
        <w:rPr>
          <w:rFonts w:ascii="Times New Roman" w:hAnsi="Times New Roman"/>
          <w:sz w:val="24"/>
        </w:rPr>
        <w:t>230,8</w:t>
      </w:r>
      <w:r>
        <w:rPr>
          <w:rFonts w:ascii="Times New Roman" w:hAnsi="Times New Roman"/>
          <w:sz w:val="24"/>
        </w:rPr>
        <w:t xml:space="preserve">тыс. рублей, районный – </w:t>
      </w:r>
      <w:r>
        <w:rPr>
          <w:rFonts w:ascii="Times New Roman" w:hAnsi="Times New Roman"/>
          <w:sz w:val="24"/>
        </w:rPr>
        <w:t>2304,9</w:t>
      </w:r>
      <w:r>
        <w:rPr>
          <w:rFonts w:ascii="Times New Roman" w:hAnsi="Times New Roman"/>
          <w:sz w:val="24"/>
        </w:rPr>
        <w:t xml:space="preserve"> тыс. рублей, сбалансированность бюджетов- </w:t>
      </w:r>
      <w:r>
        <w:rPr>
          <w:rFonts w:ascii="Times New Roman" w:hAnsi="Times New Roman"/>
          <w:sz w:val="24"/>
        </w:rPr>
        <w:t>5170,4</w:t>
      </w:r>
      <w:r>
        <w:rPr>
          <w:rFonts w:ascii="Times New Roman" w:hAnsi="Times New Roman"/>
          <w:sz w:val="24"/>
        </w:rPr>
        <w:t xml:space="preserve"> тыс.руб. Собственные средства в виде налогов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7,1</w:t>
      </w:r>
      <w:r>
        <w:rPr>
          <w:rFonts w:ascii="Times New Roman" w:hAnsi="Times New Roman"/>
          <w:sz w:val="24"/>
        </w:rPr>
        <w:t xml:space="preserve"> %, или  </w:t>
      </w:r>
      <w:r>
        <w:rPr>
          <w:rFonts w:ascii="Times New Roman" w:hAnsi="Times New Roman"/>
          <w:sz w:val="24"/>
        </w:rPr>
        <w:t>589,3</w:t>
      </w:r>
      <w:r>
        <w:rPr>
          <w:rFonts w:ascii="Times New Roman" w:hAnsi="Times New Roman"/>
          <w:sz w:val="24"/>
        </w:rPr>
        <w:t xml:space="preserve">   тыс. рублей.</w:t>
      </w:r>
    </w:p>
    <w:p w14:paraId="F402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F502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F6020000">
      <w:pPr>
        <w:spacing w:after="0" w:line="240" w:lineRule="auto"/>
        <w:ind/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F7020000">
      <w:pPr>
        <w:spacing w:after="0" w:line="240" w:lineRule="auto"/>
        <w:ind/>
        <w:jc w:val="center"/>
        <w:outlineLvl w:val="0"/>
        <w:rPr>
          <w:rFonts w:ascii="Arial" w:hAnsi="Arial"/>
          <w:sz w:val="24"/>
        </w:rPr>
      </w:pPr>
    </w:p>
    <w:p w14:paraId="F8020000">
      <w:pPr>
        <w:spacing w:after="0" w:line="240" w:lineRule="auto"/>
        <w:ind/>
        <w:jc w:val="center"/>
        <w:outlineLvl w:val="0"/>
        <w:rPr>
          <w:rFonts w:ascii="Arial" w:hAnsi="Arial"/>
          <w:sz w:val="24"/>
        </w:rPr>
      </w:pPr>
    </w:p>
    <w:p w14:paraId="F9020000">
      <w:pPr>
        <w:spacing w:after="0" w:line="240" w:lineRule="auto"/>
        <w:ind/>
        <w:jc w:val="center"/>
        <w:outlineLvl w:val="0"/>
        <w:rPr>
          <w:rFonts w:ascii="Arial" w:hAnsi="Arial"/>
          <w:sz w:val="24"/>
        </w:rPr>
      </w:pPr>
    </w:p>
    <w:p w14:paraId="FA020000">
      <w:pPr>
        <w:spacing w:after="0" w:line="240" w:lineRule="auto"/>
        <w:ind/>
        <w:jc w:val="center"/>
        <w:outlineLvl w:val="0"/>
        <w:rPr>
          <w:rFonts w:ascii="Arial" w:hAnsi="Arial"/>
          <w:sz w:val="24"/>
        </w:rPr>
      </w:pPr>
    </w:p>
    <w:p w14:paraId="FB020000">
      <w:pPr>
        <w:spacing w:after="0" w:line="240" w:lineRule="auto"/>
        <w:ind/>
        <w:jc w:val="center"/>
        <w:outlineLvl w:val="0"/>
        <w:rPr>
          <w:rFonts w:ascii="Arial" w:hAnsi="Arial"/>
          <w:sz w:val="24"/>
        </w:rPr>
      </w:pPr>
    </w:p>
    <w:p w14:paraId="FC02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Промышленность</w:t>
      </w:r>
    </w:p>
    <w:p w14:paraId="FD02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F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14:paraId="F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00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010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Сельское хозяйство</w:t>
      </w:r>
    </w:p>
    <w:p w14:paraId="0203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03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Сельскохозяйственных предприятий в поселении нет, но население активно занимается личным подсобным хозяйством: содержит крупный рогатый скот, овец, коз, сельскохозяйственную птицу, и таким образом полностью снабжает себя продуктами питания.                            </w:t>
      </w:r>
    </w:p>
    <w:p w14:paraId="040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050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Строительство,  и капитальный ремонт</w:t>
      </w:r>
    </w:p>
    <w:p w14:paraId="06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Промышленное строительство на территории не ведется, однако молодые семьи в связи с рождением детей делают пристройки к домам или строят новые деревянные дома самостоятельно.</w:t>
      </w:r>
    </w:p>
    <w:p w14:paraId="080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Развитие малого предпринимательства</w:t>
      </w:r>
    </w:p>
    <w:p w14:paraId="09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A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  поселения осуществляют торговую деятельность 2 частных магазина.</w:t>
      </w:r>
    </w:p>
    <w:p w14:paraId="0B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C03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Коммунальное хозяйство</w:t>
      </w:r>
    </w:p>
    <w:p w14:paraId="0D03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</w:p>
    <w:p w14:paraId="0E03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Централизованного теплоснабжения, газоснабжения и канализации на территории  Усть-Питского  сельсовета нет.</w:t>
      </w:r>
    </w:p>
    <w:p w14:paraId="0F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Электроснабжение населения осуществляется  в  с.Усть-Пит, в п. Шишмарево.</w:t>
      </w:r>
    </w:p>
    <w:p w14:paraId="10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Электроснабжение населенных пунктов осуществляет  Производственный участок « Енисейский»  ООО « Енисейэнергоком» посредством дизельных электростанций. </w:t>
      </w:r>
    </w:p>
    <w:p w14:paraId="11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протяженность линий электропередачи  составляет 5,3 километра.</w:t>
      </w:r>
    </w:p>
    <w:p w14:paraId="12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сельсовета расположено 2  кладбища. </w:t>
      </w:r>
    </w:p>
    <w:p w14:paraId="13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403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                          </w:t>
      </w:r>
    </w:p>
    <w:p w14:paraId="15030000">
      <w:pPr>
        <w:spacing w:after="0" w:line="240" w:lineRule="atLeast"/>
        <w:ind/>
        <w:outlineLvl w:val="0"/>
        <w:rPr>
          <w:rFonts w:ascii="Arial" w:hAnsi="Arial"/>
          <w:sz w:val="24"/>
          <w:u w:val="single"/>
        </w:rPr>
      </w:pPr>
    </w:p>
    <w:p w14:paraId="1603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Дорожная деятельность</w:t>
      </w:r>
    </w:p>
    <w:p w14:paraId="1703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  <w:u w:val="single"/>
        </w:rPr>
      </w:pPr>
    </w:p>
    <w:p w14:paraId="18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Поселение имеет сеть автомобильных дорог общего пользования местного значения протяженностью 15,1 км. Протяженность дорог, не отвечающих  нормативным требованиям, составляет  более 50%. 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 в следствие погодно-климатических условий, возникла необходимость в проведении ремонта грунтовых дорог. </w:t>
      </w:r>
    </w:p>
    <w:p w14:paraId="19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30000">
      <w:pPr>
        <w:spacing w:after="0" w:line="240" w:lineRule="atLeast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Социальная инфраструктура сельского поселения.</w:t>
      </w:r>
    </w:p>
    <w:p w14:paraId="1B03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</w:p>
    <w:p w14:paraId="1C030000">
      <w:pPr>
        <w:spacing w:after="0" w:line="240" w:lineRule="atLeast"/>
        <w:ind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развития социальной сферы на 2024 год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14:paraId="1D03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  <w:u w:val="single"/>
        </w:rPr>
      </w:pPr>
    </w:p>
    <w:p w14:paraId="1E03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1F03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Образование</w:t>
      </w:r>
    </w:p>
    <w:p w14:paraId="20030000">
      <w:pPr>
        <w:spacing w:after="0" w:line="240" w:lineRule="atLeast"/>
        <w:ind/>
        <w:jc w:val="center"/>
        <w:outlineLvl w:val="0"/>
        <w:rPr>
          <w:rFonts w:ascii="Arial" w:hAnsi="Arial"/>
          <w:b w:val="1"/>
          <w:sz w:val="24"/>
        </w:rPr>
      </w:pPr>
    </w:p>
    <w:p w14:paraId="21030000">
      <w:pPr>
        <w:spacing w:after="0" w:line="240" w:lineRule="atLeast"/>
        <w:ind/>
        <w:jc w:val="both"/>
        <w:outlineLvl w:val="0"/>
        <w:rPr>
          <w:rFonts w:ascii="Arial" w:hAnsi="Arial"/>
          <w:sz w:val="24"/>
          <w:u w:val="single"/>
        </w:rPr>
      </w:pPr>
    </w:p>
    <w:p w14:paraId="2203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сельского поселения имеется:</w:t>
      </w:r>
    </w:p>
    <w:p w14:paraId="2303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МБОУ « Усть-Питская ООШ № 19»</w:t>
      </w:r>
    </w:p>
    <w:p w14:paraId="2403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Дошкольное учреждение МБОУ « Усть-Питская ООШ № 19».</w:t>
      </w:r>
    </w:p>
    <w:p w14:paraId="25030000">
      <w:pPr>
        <w:spacing w:after="0" w:line="240" w:lineRule="atLeast"/>
        <w:ind/>
        <w:jc w:val="both"/>
        <w:outlineLvl w:val="0"/>
        <w:rPr>
          <w:rFonts w:ascii="Arial" w:hAnsi="Arial"/>
          <w:sz w:val="24"/>
        </w:rPr>
      </w:pPr>
    </w:p>
    <w:p w14:paraId="2603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Здравоохранение</w:t>
      </w:r>
    </w:p>
    <w:p w14:paraId="2703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2803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  <w:u w:val="single"/>
        </w:rPr>
      </w:pPr>
    </w:p>
    <w:p w14:paraId="29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Медицинское  обслуживание населения  осуществляется  в одном фельдшерско-  акушерском   пункте.</w:t>
      </w:r>
    </w:p>
    <w:p w14:paraId="2A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фельдшерско- акушерский пункт  муниципального бюджетного учреждения  здравоохранения « Енисейская ЦРБ» с. Усть-Пит.</w:t>
      </w:r>
    </w:p>
    <w:p w14:paraId="2B0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  <w:u w:val="single"/>
        </w:rPr>
      </w:pPr>
    </w:p>
    <w:p w14:paraId="2C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30000">
      <w:pPr>
        <w:spacing w:after="0" w:line="240" w:lineRule="atLeast"/>
        <w:ind w:right="19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Связь</w:t>
      </w:r>
    </w:p>
    <w:p w14:paraId="2E030000">
      <w:pPr>
        <w:spacing w:after="0" w:line="240" w:lineRule="atLeast"/>
        <w:ind w:right="19"/>
        <w:jc w:val="both"/>
        <w:outlineLvl w:val="0"/>
        <w:rPr>
          <w:rFonts w:ascii="Times New Roman" w:hAnsi="Times New Roman"/>
          <w:b w:val="1"/>
          <w:sz w:val="24"/>
        </w:rPr>
      </w:pPr>
    </w:p>
    <w:p w14:paraId="2F030000">
      <w:pPr>
        <w:spacing w:after="0" w:line="240" w:lineRule="atLeast"/>
        <w:ind w:right="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Почтовое обслуживание населения, выдача пенсий производится почтовым отделением « Почта России».</w:t>
      </w:r>
    </w:p>
    <w:p w14:paraId="30030000">
      <w:pPr>
        <w:spacing w:after="0" w:line="240" w:lineRule="atLeast"/>
        <w:ind w:right="1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Телефонная связь осуществляется через спутниковую связь, которую обслуживает АО КБ «Искра» , ПАО «Ростелеком» 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ТЕЛЕ2 ( сотовая связь). В с.  Усть-Пит имеются таксофоны.</w:t>
      </w:r>
    </w:p>
    <w:p w14:paraId="31030000">
      <w:pPr>
        <w:spacing w:after="0" w:line="240" w:lineRule="auto"/>
        <w:ind/>
        <w:outlineLvl w:val="0"/>
        <w:rPr>
          <w:rFonts w:ascii="Times New Roman" w:hAnsi="Times New Roman"/>
          <w:sz w:val="24"/>
          <w:u w:val="single"/>
        </w:rPr>
      </w:pPr>
    </w:p>
    <w:p w14:paraId="320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Культура и спорт</w:t>
      </w:r>
    </w:p>
    <w:p w14:paraId="33030000">
      <w:pPr>
        <w:spacing w:after="0" w:line="240" w:lineRule="auto"/>
        <w:ind/>
        <w:outlineLvl w:val="0"/>
        <w:rPr>
          <w:rFonts w:ascii="Times New Roman" w:hAnsi="Times New Roman"/>
          <w:sz w:val="24"/>
          <w:u w:val="single"/>
        </w:rPr>
      </w:pPr>
    </w:p>
    <w:p w14:paraId="34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целях  удовлетворения  общественных  потребностей  в сохранении  и развитии  народной традиционной культуры , организации  досуга  и отдыха  населения  постоянно проводятся  культурно- досуговые  мероприятия.        В сельском  клубе работают  кружки. </w:t>
      </w:r>
    </w:p>
    <w:p w14:paraId="35030000">
      <w:pPr>
        <w:spacing w:after="0" w:line="240" w:lineRule="atLeast"/>
        <w:ind/>
        <w:outlineLvl w:val="0"/>
        <w:rPr>
          <w:rFonts w:ascii="Times New Roman" w:hAnsi="Times New Roman"/>
          <w:sz w:val="24"/>
          <w:u w:val="single"/>
        </w:rPr>
      </w:pPr>
    </w:p>
    <w:p w14:paraId="360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Бюджет сельского поселения </w:t>
      </w:r>
    </w:p>
    <w:p w14:paraId="370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38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доходной части бюджета Усть-Питского  сельсовета на 2024-2025 годов</w:t>
      </w:r>
    </w:p>
    <w:p w14:paraId="39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Экономическую основу Усть-Питского сельсовета составляют налоговые и неналоговые поступления, собираемые с юридических и физических лиц на территории сельсовета.</w:t>
      </w:r>
    </w:p>
    <w:p w14:paraId="3B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Налоговые поступления</w:t>
      </w:r>
    </w:p>
    <w:p w14:paraId="3C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D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НДФЛ -</w:t>
      </w:r>
      <w:r>
        <w:rPr>
          <w:rFonts w:ascii="Times New Roman" w:hAnsi="Times New Roman"/>
          <w:sz w:val="24"/>
        </w:rPr>
        <w:t xml:space="preserve">  2% налога на доходы физических лиц (норматив отчисления в бюджет поселения)</w:t>
      </w:r>
    </w:p>
    <w:p w14:paraId="3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Прогнозные оценки поступления данного налога в бюджет поселения характеризуются следующими данными: </w:t>
      </w:r>
    </w:p>
    <w:p w14:paraId="4003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тыс.рублей</w:t>
      </w:r>
    </w:p>
    <w:p w14:paraId="4103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58"/>
        <w:gridCol w:w="1275"/>
        <w:gridCol w:w="1562"/>
        <w:gridCol w:w="1085"/>
        <w:gridCol w:w="1322"/>
        <w:gridCol w:w="1494"/>
      </w:tblGrid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за 2022 год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ожидаемого исполнения за 2023год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2024</w:t>
            </w:r>
          </w:p>
          <w:p w14:paraId="4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2025</w:t>
            </w:r>
          </w:p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2026 год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наемных работников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66250,7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72380,7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64153,9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66695,4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r>
              <w:t>69140,4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налоговых вычетов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>5520,0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r>
              <w:t>5650,0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5500,1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5580,0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5602,0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Налоговая база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r>
              <w:t>60730,7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>66730,7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r>
              <w:t>58653,8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61115,4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r>
              <w:t>63538,4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налога исчисленная 13%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r>
              <w:t>7895,0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r>
              <w:t>8675,0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7625,0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>7945,0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8260,0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налога в сельский бюджет 2%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157,9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>173,5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r>
              <w:t>152,5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r>
              <w:t>158,9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>165,2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Поступило фактически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r>
              <w:t>140,1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недоимка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3030000">
      <w:pPr>
        <w:spacing w:after="0" w:line="240" w:lineRule="auto"/>
        <w:ind/>
        <w:rPr>
          <w:rFonts w:ascii="Arial" w:hAnsi="Arial"/>
          <w:sz w:val="24"/>
        </w:rPr>
      </w:pPr>
    </w:p>
    <w:p w14:paraId="74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Прогнозируемое поступление налога на доходы физических лиц основано на уровне фактического поступления данного налога в бюджет поселения за  год, прогнозируемым ростом заработной платы работников бюджетной сферы, среднегодовым темпом роста заработной платы работников коммерческих предприятий.</w:t>
      </w:r>
    </w:p>
    <w:p w14:paraId="7503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7603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Поступление налоговых и неналоговых платежей в местный бюджет от предприятий и физических лиц, расположенных на территории поселения за 2023 год составило</w:t>
      </w:r>
      <w:r>
        <w:rPr>
          <w:rFonts w:ascii="Times New Roman" w:hAnsi="Times New Roman"/>
          <w:sz w:val="24"/>
        </w:rPr>
        <w:t xml:space="preserve"> 173,5 </w:t>
      </w:r>
      <w:r>
        <w:rPr>
          <w:rFonts w:ascii="Times New Roman" w:hAnsi="Times New Roman"/>
          <w:sz w:val="24"/>
        </w:rPr>
        <w:t xml:space="preserve">тыс. руб. Бюджет Усть-Питского сельсовета планируется дотационным, доля собственных доходов не превышает </w:t>
      </w:r>
      <w:r>
        <w:rPr>
          <w:rFonts w:ascii="Times New Roman" w:hAnsi="Times New Roman"/>
          <w:sz w:val="24"/>
        </w:rPr>
        <w:t>7,2</w:t>
      </w:r>
      <w:r>
        <w:rPr>
          <w:rFonts w:ascii="Times New Roman" w:hAnsi="Times New Roman"/>
          <w:sz w:val="24"/>
        </w:rPr>
        <w:t xml:space="preserve"> %. В структуре расходов общегосударственные расходы составили примерно </w:t>
      </w:r>
      <w:r>
        <w:rPr>
          <w:rFonts w:ascii="Times New Roman" w:hAnsi="Times New Roman"/>
          <w:sz w:val="24"/>
        </w:rPr>
        <w:t>66,0</w:t>
      </w:r>
      <w:r>
        <w:rPr>
          <w:rFonts w:ascii="Times New Roman" w:hAnsi="Times New Roman"/>
          <w:sz w:val="24"/>
        </w:rPr>
        <w:t xml:space="preserve"> %, расходы на социально-культурную сферу </w:t>
      </w:r>
      <w:r>
        <w:rPr>
          <w:rFonts w:ascii="Times New Roman" w:hAnsi="Times New Roman"/>
          <w:sz w:val="24"/>
        </w:rPr>
        <w:t>8,7</w:t>
      </w:r>
      <w:r>
        <w:rPr>
          <w:rFonts w:ascii="Times New Roman" w:hAnsi="Times New Roman"/>
          <w:sz w:val="24"/>
        </w:rPr>
        <w:t xml:space="preserve"> %, расходы на жилищное, коммунальное, дорожное хозяйство и благоустройство </w:t>
      </w:r>
      <w:r>
        <w:rPr>
          <w:rFonts w:ascii="Times New Roman" w:hAnsi="Times New Roman"/>
          <w:sz w:val="24"/>
        </w:rPr>
        <w:t>17,6</w:t>
      </w:r>
      <w:r>
        <w:rPr>
          <w:rFonts w:ascii="Times New Roman" w:hAnsi="Times New Roman"/>
          <w:sz w:val="24"/>
        </w:rPr>
        <w:t xml:space="preserve">%. </w:t>
      </w:r>
    </w:p>
    <w:p w14:paraId="77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Ожидаемые доходы бюджета сельского поселения  в 2023году </w:t>
      </w:r>
      <w:r>
        <w:rPr>
          <w:rFonts w:ascii="Times New Roman" w:hAnsi="Times New Roman"/>
          <w:sz w:val="24"/>
        </w:rPr>
        <w:t>уменьшились</w:t>
      </w:r>
      <w:r>
        <w:rPr>
          <w:rFonts w:ascii="Times New Roman" w:hAnsi="Times New Roman"/>
          <w:sz w:val="24"/>
        </w:rPr>
        <w:t xml:space="preserve"> к уровню 2022 года на </w:t>
      </w:r>
      <w:r>
        <w:rPr>
          <w:rFonts w:ascii="Times New Roman" w:hAnsi="Times New Roman"/>
          <w:sz w:val="24"/>
        </w:rPr>
        <w:t>8,1</w:t>
      </w:r>
      <w:r>
        <w:rPr>
          <w:rFonts w:ascii="Times New Roman" w:hAnsi="Times New Roman"/>
          <w:sz w:val="24"/>
        </w:rPr>
        <w:t xml:space="preserve"> % за счет</w:t>
      </w:r>
      <w:r>
        <w:rPr>
          <w:rFonts w:ascii="Times New Roman" w:hAnsi="Times New Roman"/>
          <w:sz w:val="24"/>
        </w:rPr>
        <w:t xml:space="preserve"> уменьшения </w:t>
      </w:r>
      <w:r>
        <w:rPr>
          <w:rFonts w:ascii="Times New Roman" w:hAnsi="Times New Roman"/>
          <w:sz w:val="24"/>
        </w:rPr>
        <w:t xml:space="preserve"> поступления прочих межбюджетных трансфертов </w:t>
      </w:r>
    </w:p>
    <w:p w14:paraId="78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Ожидаемые расходы бюджета сельского поселения  в 202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году  </w:t>
      </w:r>
      <w:r>
        <w:rPr>
          <w:rFonts w:ascii="Times New Roman" w:hAnsi="Times New Roman"/>
          <w:sz w:val="24"/>
        </w:rPr>
        <w:t>уменьшились к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 на </w:t>
      </w:r>
      <w:r>
        <w:rPr>
          <w:rFonts w:ascii="Times New Roman" w:hAnsi="Times New Roman"/>
          <w:sz w:val="24"/>
        </w:rPr>
        <w:t>6,4</w:t>
      </w:r>
      <w:r>
        <w:rPr>
          <w:rFonts w:ascii="Times New Roman" w:hAnsi="Times New Roman"/>
          <w:sz w:val="24"/>
        </w:rPr>
        <w:t xml:space="preserve">   %.</w:t>
      </w:r>
    </w:p>
    <w:p w14:paraId="79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A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Объём средств выделяемых на оплату труда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штатная численность органов управления  запланирована  в соответствии с 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служащих».Расходы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 </w:t>
      </w:r>
    </w:p>
    <w:p w14:paraId="7B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C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источником доходов населения является заработная плата. Уровень заработной платы по официально учтенным предприятиям растет. На 2024 год прогноз по выплате заработной платы положительный .</w:t>
      </w:r>
    </w:p>
    <w:p w14:paraId="7D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E030000">
      <w:pPr>
        <w:spacing w:after="0" w:line="240" w:lineRule="auto"/>
        <w:ind/>
        <w:jc w:val="center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​</w:t>
      </w:r>
    </w:p>
    <w:p w14:paraId="7F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Земельный налог</w:t>
      </w:r>
    </w:p>
    <w:p w14:paraId="8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Прогнозные оценки поступления данного налога в бюджет поселения характеризуются следующими данными: </w:t>
      </w:r>
    </w:p>
    <w:p w14:paraId="8203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 xml:space="preserve"> Земельный налог с юридических лиц</w:t>
      </w:r>
    </w:p>
    <w:p w14:paraId="8303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тыс.рублей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58"/>
        <w:gridCol w:w="1275"/>
        <w:gridCol w:w="1562"/>
        <w:gridCol w:w="1085"/>
        <w:gridCol w:w="1322"/>
        <w:gridCol w:w="1494"/>
      </w:tblGrid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за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ожидаемого исполнения за 2023 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2024 год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2025 год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2026 год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налогоплательщиков, единиц, 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56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исчислен налог к уплате</w:t>
            </w:r>
          </w:p>
          <w:p w14:paraId="9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30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исчислен налог применяющих налоговые льготы</w:t>
            </w:r>
          </w:p>
          <w:p w14:paraId="9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2.Количество земельных участков, учтенных в базе данных налоговых органов, единиц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Налоговая база (кадастровая стоимость/нормативная цена)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Налоговая база(кадастровая стоимость/нормативная цена с учетом льгот)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Сумма налога, подлежащая уплате в бюджет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Ставка земельного налога (%)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Контрольная сумма 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224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7224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7224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10.Недоимка прошлых периодов(рублях)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F03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Земельный налог с физических лиц:</w:t>
      </w:r>
    </w:p>
    <w:p w14:paraId="D003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</w:p>
    <w:p w14:paraId="D103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</w:p>
    <w:p w14:paraId="D203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</w:p>
    <w:p w14:paraId="D303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</w:p>
    <w:p w14:paraId="D403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тыс.рублей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58"/>
        <w:gridCol w:w="1275"/>
        <w:gridCol w:w="1562"/>
        <w:gridCol w:w="1085"/>
        <w:gridCol w:w="1322"/>
        <w:gridCol w:w="1494"/>
      </w:tblGrid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за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год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ожидаемого исполнения за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налогоплательщиков, единиц, 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>
        <w:trPr>
          <w:trHeight w:hRule="atLeast" w:val="656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 исчислен налог к уплате</w:t>
            </w:r>
          </w:p>
          <w:p w14:paraId="E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rPr>
          <w:trHeight w:hRule="atLeast" w:val="730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 исчислен налог применяющих налоговые льготы</w:t>
            </w:r>
          </w:p>
          <w:p w14:paraId="E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2.Количество земельных участков, учтенных в базе данных налоговых органов, единиц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Налоговая база (кадастровая стоимость/нормативная цена)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Налоговая база(кадастровая стоимость/нормативная цена с учетом льгот)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Сумма налога, подлежащая уплате в бюджет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Ставка земельного налога (%)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Контрольная сумма 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5481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6281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10.Недоимка прошлых периодов(рублях)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14:paraId="1F040000">
      <w:pPr>
        <w:spacing w:after="0" w:line="240" w:lineRule="auto"/>
        <w:ind/>
        <w:rPr>
          <w:rFonts w:ascii="Arial" w:hAnsi="Arial"/>
          <w:sz w:val="24"/>
        </w:rPr>
      </w:pPr>
    </w:p>
    <w:p w14:paraId="20040000">
      <w:pPr>
        <w:spacing w:after="0" w:line="240" w:lineRule="auto"/>
        <w:ind/>
        <w:rPr>
          <w:rFonts w:ascii="Arial" w:hAnsi="Arial"/>
          <w:sz w:val="24"/>
        </w:rPr>
      </w:pPr>
    </w:p>
    <w:p w14:paraId="21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2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 на имущество физических лиц</w:t>
      </w:r>
    </w:p>
    <w:p w14:paraId="2404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тыс.рублей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58"/>
        <w:gridCol w:w="1275"/>
        <w:gridCol w:w="1562"/>
        <w:gridCol w:w="1085"/>
        <w:gridCol w:w="1322"/>
        <w:gridCol w:w="1494"/>
      </w:tblGrid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за 2022год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ожидаемого исполнения за 2023год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2024год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2025 год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2026 год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налогоплательщиков, единиц, 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>
        <w:trPr>
          <w:trHeight w:hRule="atLeast" w:val="656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исчислен налог к уплате</w:t>
            </w:r>
          </w:p>
          <w:p w14:paraId="3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>
        <w:trPr>
          <w:trHeight w:hRule="atLeast" w:val="730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исчислен налог применяющих налоговые льготы</w:t>
            </w:r>
          </w:p>
          <w:p w14:paraId="3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2.Количество строений, помещений учтенных в базе данных налоговых органов, единиц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Общая инвентаризационная стоимость, строений, помещений  , по которым предъявлен налог к уплате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Общая инвентаризационная стоимость, строений, помещений  , по которым предъявлен налог к уплате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Сумма налога, подлежащая уплате в бюджет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Ставка налога на имущество %)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0,2                                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Контрольная сумма 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4825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6635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10.Недоимка прошлых периодов(рублях)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F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0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1040000">
      <w:pPr>
        <w:spacing w:after="0" w:before="120" w:line="240" w:lineRule="auto"/>
        <w:ind/>
        <w:rPr>
          <w:rFonts w:ascii="Times New Roman" w:hAnsi="Times New Roman"/>
          <w:sz w:val="24"/>
        </w:rPr>
      </w:pPr>
    </w:p>
    <w:p w14:paraId="72040000">
      <w:pPr>
        <w:spacing w:after="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расчете прогноза поступления земельного налога учтено:</w:t>
      </w:r>
    </w:p>
    <w:p w14:paraId="73040000">
      <w:pPr>
        <w:numPr>
          <w:ilvl w:val="0"/>
          <w:numId w:val="3"/>
        </w:numPr>
        <w:spacing w:after="0" w:before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налоговой статистики по форме № 5-МН «Отчет о налоговой базе и структуре начислений по местным налогам за 2020 год»;</w:t>
      </w:r>
    </w:p>
    <w:p w14:paraId="74040000">
      <w:pPr>
        <w:numPr>
          <w:ilvl w:val="0"/>
          <w:numId w:val="3"/>
        </w:numPr>
        <w:spacing w:after="0" w:before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УФНС по краю, предоставленная в соответствии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приказом № 65н.</w:t>
      </w:r>
    </w:p>
    <w:p w14:paraId="75040000">
      <w:pPr>
        <w:spacing w:after="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поступления налога</w:t>
      </w:r>
      <w:r>
        <w:rPr>
          <w:rFonts w:ascii="Times New Roman" w:hAnsi="Times New Roman"/>
          <w:i w:val="1"/>
          <w:sz w:val="24"/>
        </w:rPr>
        <w:t xml:space="preserve"> с физических лиц</w:t>
      </w:r>
      <w:r>
        <w:rPr>
          <w:rFonts w:ascii="Times New Roman" w:hAnsi="Times New Roman"/>
          <w:sz w:val="24"/>
        </w:rPr>
        <w:t xml:space="preserve"> сформирован на основе информации о начислении налога по физическим лицам (отчет по форме № 5-МН «Отчет о налоговой базе и структуре начислений по местным налогам за 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 год»), расчетного уровня собираемости. Учтено погашение недоимки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 в размере 25 % от ее величины по состоянию на 01.08.202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ежегодно.</w:t>
      </w:r>
    </w:p>
    <w:p w14:paraId="76040000">
      <w:pPr>
        <w:spacing w:after="0" w:line="240" w:lineRule="auto"/>
        <w:ind/>
        <w:rPr>
          <w:rFonts w:ascii="Arial" w:hAnsi="Arial"/>
          <w:sz w:val="24"/>
        </w:rPr>
      </w:pPr>
    </w:p>
    <w:p w14:paraId="77040000">
      <w:pPr>
        <w:spacing w:after="0" w:line="240" w:lineRule="auto"/>
        <w:ind/>
        <w:rPr>
          <w:rFonts w:ascii="Arial" w:hAnsi="Arial"/>
          <w:sz w:val="24"/>
        </w:rPr>
      </w:pPr>
    </w:p>
    <w:p w14:paraId="78040000">
      <w:pPr>
        <w:spacing w:after="0" w:line="240" w:lineRule="auto"/>
        <w:ind/>
        <w:rPr>
          <w:rFonts w:ascii="Arial" w:hAnsi="Arial"/>
          <w:sz w:val="24"/>
        </w:rPr>
      </w:pPr>
    </w:p>
    <w:p w14:paraId="7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Усть-Питского сельсовета                                                     В.В. Семенов</w:t>
      </w:r>
    </w:p>
    <w:p w14:paraId="7A040000">
      <w:bookmarkStart w:id="1" w:name="_GoBack"/>
      <w:bookmarkEnd w:id="1"/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1080" w:val="left"/>
        </w:tabs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149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869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589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309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029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749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469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189" w:val="left"/>
        </w:tabs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color w:val="000000"/>
      <w:sz w:val="22"/>
    </w:rPr>
  </w:style>
  <w:style w:default="1" w:styleId="Style_2_ch" w:type="character">
    <w:name w:val="Normal"/>
    <w:link w:val="Style_2"/>
    <w:rPr>
      <w:color w:val="000000"/>
      <w:sz w:val="22"/>
    </w:rPr>
  </w:style>
  <w:style w:styleId="Style_3" w:type="paragraph">
    <w:name w:val="toc 2"/>
    <w:basedOn w:val="Style_2"/>
    <w:next w:val="Style_2"/>
    <w:link w:val="Style_3_ch"/>
    <w:uiPriority w:val="39"/>
    <w:pPr>
      <w:spacing w:after="0" w:line="240" w:lineRule="auto"/>
      <w:ind w:firstLine="0" w:left="200"/>
    </w:pPr>
    <w:rPr>
      <w:sz w:val="20"/>
    </w:rPr>
  </w:style>
  <w:style w:styleId="Style_3_ch" w:type="character">
    <w:name w:val="toc 2"/>
    <w:basedOn w:val="Style_2_ch"/>
    <w:link w:val="Style_3"/>
    <w:rPr>
      <w:sz w:val="20"/>
    </w:rPr>
  </w:style>
  <w:style w:styleId="Style_4" w:type="paragraph">
    <w:name w:val="toc 4"/>
    <w:basedOn w:val="Style_2"/>
    <w:next w:val="Style_2"/>
    <w:link w:val="Style_4_ch"/>
    <w:uiPriority w:val="39"/>
    <w:pPr>
      <w:spacing w:after="0" w:line="240" w:lineRule="auto"/>
      <w:ind w:firstLine="0" w:left="600"/>
    </w:pPr>
    <w:rPr>
      <w:sz w:val="20"/>
    </w:rPr>
  </w:style>
  <w:style w:styleId="Style_4_ch" w:type="character">
    <w:name w:val="toc 4"/>
    <w:basedOn w:val="Style_2_ch"/>
    <w:link w:val="Style_4"/>
    <w:rPr>
      <w:sz w:val="20"/>
    </w:rPr>
  </w:style>
  <w:style w:styleId="Style_5" w:type="paragraph">
    <w:name w:val="footer"/>
    <w:basedOn w:val="Style_2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footer"/>
    <w:basedOn w:val="Style_2_ch"/>
    <w:link w:val="Style_5"/>
    <w:rPr>
      <w:rFonts w:ascii="Times New Roman" w:hAnsi="Times New Roman"/>
      <w:sz w:val="24"/>
    </w:rPr>
  </w:style>
  <w:style w:styleId="Style_6" w:type="paragraph">
    <w:name w:val="Знак Знак Знак Знак Знак Знак Знак Знак Знак"/>
    <w:basedOn w:val="Style_2"/>
    <w:link w:val="Style_6_ch"/>
    <w:pPr>
      <w:spacing w:after="160" w:line="240" w:lineRule="exact"/>
      <w:ind/>
    </w:pPr>
    <w:rPr>
      <w:rFonts w:ascii="Verdana" w:hAnsi="Verdana"/>
      <w:sz w:val="24"/>
    </w:rPr>
  </w:style>
  <w:style w:styleId="Style_6_ch" w:type="character">
    <w:name w:val="Знак Знак Знак Знак Знак Знак Знак Знак Знак"/>
    <w:basedOn w:val="Style_2_ch"/>
    <w:link w:val="Style_6"/>
    <w:rPr>
      <w:rFonts w:ascii="Verdana" w:hAnsi="Verdana"/>
      <w:sz w:val="24"/>
    </w:rPr>
  </w:style>
  <w:style w:styleId="Style_7" w:type="paragraph">
    <w:name w:val="Абзац списка1"/>
    <w:basedOn w:val="Style_2"/>
    <w:link w:val="Style_7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7_ch" w:type="character">
    <w:name w:val="Абзац списка1"/>
    <w:basedOn w:val="Style_2_ch"/>
    <w:link w:val="Style_7"/>
    <w:rPr>
      <w:rFonts w:ascii="Times New Roman" w:hAnsi="Times New Roman"/>
      <w:sz w:val="24"/>
    </w:rPr>
  </w:style>
  <w:style w:styleId="Style_8" w:type="paragraph">
    <w:name w:val="toc 6"/>
    <w:basedOn w:val="Style_2"/>
    <w:next w:val="Style_2"/>
    <w:link w:val="Style_8_ch"/>
    <w:uiPriority w:val="39"/>
    <w:pPr>
      <w:spacing w:after="0" w:line="240" w:lineRule="auto"/>
      <w:ind w:firstLine="0" w:left="1000"/>
    </w:pPr>
    <w:rPr>
      <w:sz w:val="20"/>
    </w:rPr>
  </w:style>
  <w:style w:styleId="Style_8_ch" w:type="character">
    <w:name w:val="toc 6"/>
    <w:basedOn w:val="Style_2_ch"/>
    <w:link w:val="Style_8"/>
    <w:rPr>
      <w:sz w:val="20"/>
    </w:rPr>
  </w:style>
  <w:style w:styleId="Style_9" w:type="paragraph">
    <w:name w:val="toc 7"/>
    <w:basedOn w:val="Style_2"/>
    <w:next w:val="Style_2"/>
    <w:link w:val="Style_9_ch"/>
    <w:uiPriority w:val="39"/>
    <w:pPr>
      <w:spacing w:after="0" w:line="240" w:lineRule="auto"/>
      <w:ind w:firstLine="0" w:left="1200"/>
    </w:pPr>
    <w:rPr>
      <w:sz w:val="20"/>
    </w:rPr>
  </w:style>
  <w:style w:styleId="Style_9_ch" w:type="character">
    <w:name w:val="toc 7"/>
    <w:basedOn w:val="Style_2_ch"/>
    <w:link w:val="Style_9"/>
    <w:rPr>
      <w:sz w:val="20"/>
    </w:rPr>
  </w:style>
  <w:style w:styleId="Style_10" w:type="paragraph">
    <w:name w:val="Основной текст 21"/>
    <w:basedOn w:val="Style_2"/>
    <w:link w:val="Style_10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0_ch" w:type="character">
    <w:name w:val="Основной текст 21"/>
    <w:basedOn w:val="Style_2_ch"/>
    <w:link w:val="Style_10"/>
    <w:rPr>
      <w:rFonts w:ascii="Times New Roman" w:hAnsi="Times New Roman"/>
      <w:sz w:val="28"/>
    </w:rPr>
  </w:style>
  <w:style w:styleId="Style_11" w:type="paragraph">
    <w:name w:val="heading 3"/>
    <w:basedOn w:val="Style_2"/>
    <w:next w:val="Style_2"/>
    <w:link w:val="Style_11_ch"/>
    <w:uiPriority w:val="9"/>
    <w:qFormat/>
    <w:pPr>
      <w:spacing w:after="0" w:line="240" w:lineRule="auto"/>
      <w:ind/>
      <w:outlineLvl w:val="2"/>
    </w:pPr>
    <w:rPr>
      <w:rFonts w:ascii="XO Thames" w:hAnsi="XO Thames"/>
      <w:b w:val="1"/>
      <w:i w:val="1"/>
      <w:sz w:val="20"/>
    </w:rPr>
  </w:style>
  <w:style w:styleId="Style_11_ch" w:type="character">
    <w:name w:val="heading 3"/>
    <w:basedOn w:val="Style_2_ch"/>
    <w:link w:val="Style_11"/>
    <w:rPr>
      <w:rFonts w:ascii="XO Thames" w:hAnsi="XO Thames"/>
      <w:b w:val="1"/>
      <w:i w:val="1"/>
      <w:sz w:val="20"/>
    </w:rPr>
  </w:style>
  <w:style w:styleId="Style_12" w:type="paragraph">
    <w:name w:val="Без интервала1"/>
    <w:link w:val="Style_12_ch"/>
    <w:pPr>
      <w:ind/>
      <w:jc w:val="both"/>
    </w:pPr>
    <w:rPr>
      <w:rFonts w:ascii="Times New Roman" w:hAnsi="Times New Roman"/>
      <w:sz w:val="28"/>
    </w:rPr>
  </w:style>
  <w:style w:styleId="Style_12_ch" w:type="character">
    <w:name w:val="Без интервала1"/>
    <w:link w:val="Style_12"/>
    <w:rPr>
      <w:rFonts w:ascii="Times New Roman" w:hAnsi="Times New Roman"/>
      <w:sz w:val="28"/>
    </w:rPr>
  </w:style>
  <w:style w:styleId="Style_13" w:type="paragraph">
    <w:name w:val="ConsPlusTitle"/>
    <w:link w:val="Style_13_ch"/>
    <w:pPr>
      <w:widowControl w:val="0"/>
      <w:ind/>
    </w:pPr>
    <w:rPr>
      <w:rFonts w:ascii="Arial" w:hAnsi="Arial"/>
      <w:b w:val="1"/>
      <w:color w:val="000000"/>
    </w:rPr>
  </w:style>
  <w:style w:styleId="Style_13_ch" w:type="character">
    <w:name w:val="ConsPlusTitle"/>
    <w:link w:val="Style_13"/>
    <w:rPr>
      <w:rFonts w:ascii="Arial" w:hAnsi="Arial"/>
      <w:b w:val="1"/>
      <w:color w:val="000000"/>
    </w:rPr>
  </w:style>
  <w:style w:styleId="Style_14" w:type="paragraph">
    <w:name w:val="Hyperlink1"/>
    <w:link w:val="Style_14_ch"/>
    <w:rPr>
      <w:color w:val="0000FF"/>
      <w:u w:val="single"/>
    </w:rPr>
  </w:style>
  <w:style w:styleId="Style_14_ch" w:type="character">
    <w:name w:val="Hyperlink1"/>
    <w:link w:val="Style_14"/>
    <w:rPr>
      <w:color w:val="0000FF"/>
      <w:u w:val="single"/>
    </w:rPr>
  </w:style>
  <w:style w:styleId="Style_15" w:type="paragraph">
    <w:name w:val="Знак Знак Знак Знак"/>
    <w:basedOn w:val="Style_2"/>
    <w:link w:val="Style_15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15_ch" w:type="character">
    <w:name w:val="Знак Знак Знак Знак"/>
    <w:basedOn w:val="Style_2_ch"/>
    <w:link w:val="Style_15"/>
    <w:rPr>
      <w:rFonts w:ascii="Tahoma" w:hAnsi="Tahoma"/>
      <w:sz w:val="20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toc 3"/>
    <w:basedOn w:val="Style_2"/>
    <w:next w:val="Style_2"/>
    <w:link w:val="Style_17_ch"/>
    <w:uiPriority w:val="39"/>
    <w:pPr>
      <w:spacing w:after="0" w:line="240" w:lineRule="auto"/>
      <w:ind w:firstLine="0" w:left="400"/>
    </w:pPr>
    <w:rPr>
      <w:sz w:val="20"/>
    </w:rPr>
  </w:style>
  <w:style w:styleId="Style_17_ch" w:type="character">
    <w:name w:val="toc 3"/>
    <w:basedOn w:val="Style_2_ch"/>
    <w:link w:val="Style_17"/>
    <w:rPr>
      <w:sz w:val="20"/>
    </w:rPr>
  </w:style>
  <w:style w:styleId="Style_18" w:type="paragraph">
    <w:name w:val="heading 5"/>
    <w:basedOn w:val="Style_2"/>
    <w:next w:val="Style_2"/>
    <w:link w:val="Style_18_ch"/>
    <w:uiPriority w:val="9"/>
    <w:qFormat/>
    <w:pPr>
      <w:spacing w:after="120" w:before="120" w:line="240" w:lineRule="auto"/>
      <w:ind/>
      <w:outlineLvl w:val="4"/>
    </w:pPr>
    <w:rPr>
      <w:rFonts w:ascii="XO Thames" w:hAnsi="XO Thames"/>
      <w:b w:val="1"/>
    </w:rPr>
  </w:style>
  <w:style w:styleId="Style_18_ch" w:type="character">
    <w:name w:val="heading 5"/>
    <w:basedOn w:val="Style_2_ch"/>
    <w:link w:val="Style_18"/>
    <w:rPr>
      <w:rFonts w:ascii="XO Thames" w:hAnsi="XO Thames"/>
      <w:b w:val="1"/>
    </w:rPr>
  </w:style>
  <w:style w:styleId="Style_19" w:type="paragraph">
    <w:name w:val="heading 1"/>
    <w:basedOn w:val="Style_2"/>
    <w:next w:val="Style_2"/>
    <w:link w:val="Style_19_ch"/>
    <w:uiPriority w:val="9"/>
    <w:qFormat/>
    <w:pPr>
      <w:spacing w:after="120" w:before="120" w:line="240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19_ch" w:type="character">
    <w:name w:val="heading 1"/>
    <w:basedOn w:val="Style_2_ch"/>
    <w:link w:val="Style_19"/>
    <w:rPr>
      <w:rFonts w:ascii="XO Thames" w:hAnsi="XO Thames"/>
      <w:b w:val="1"/>
      <w:color w:val="000000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basedOn w:val="Style_2"/>
    <w:next w:val="Style_2"/>
    <w:link w:val="Style_22_ch"/>
    <w:uiPriority w:val="39"/>
    <w:pPr>
      <w:spacing w:after="0" w:line="240" w:lineRule="auto"/>
      <w:ind/>
    </w:pPr>
    <w:rPr>
      <w:rFonts w:ascii="XO Thames" w:hAnsi="XO Thames"/>
      <w:b w:val="1"/>
      <w:sz w:val="20"/>
    </w:rPr>
  </w:style>
  <w:style w:styleId="Style_22_ch" w:type="character">
    <w:name w:val="toc 1"/>
    <w:basedOn w:val="Style_2_ch"/>
    <w:link w:val="Style_22"/>
    <w:rPr>
      <w:rFonts w:ascii="XO Thames" w:hAnsi="XO Thames"/>
      <w:b w:val="1"/>
      <w:sz w:val="20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color w:val="000000"/>
    </w:rPr>
  </w:style>
  <w:style w:styleId="Style_23_ch" w:type="character">
    <w:name w:val="Header and Footer"/>
    <w:link w:val="Style_23"/>
    <w:rPr>
      <w:rFonts w:ascii="XO Thames" w:hAnsi="XO Thames"/>
      <w:color w:val="000000"/>
    </w:rPr>
  </w:style>
  <w:style w:styleId="Style_24" w:type="paragraph">
    <w:name w:val="Normal1"/>
    <w:link w:val="Style_24_ch"/>
    <w:rPr>
      <w:sz w:val="22"/>
    </w:rPr>
  </w:style>
  <w:style w:styleId="Style_24_ch" w:type="character">
    <w:name w:val="Normal1"/>
    <w:link w:val="Style_24"/>
    <w:rPr>
      <w:sz w:val="22"/>
    </w:rPr>
  </w:style>
  <w:style w:styleId="Style_25" w:type="paragraph">
    <w:name w:val="toc 9"/>
    <w:basedOn w:val="Style_2"/>
    <w:next w:val="Style_2"/>
    <w:link w:val="Style_25_ch"/>
    <w:uiPriority w:val="39"/>
    <w:pPr>
      <w:spacing w:after="0" w:line="240" w:lineRule="auto"/>
      <w:ind w:firstLine="0" w:left="1600"/>
    </w:pPr>
    <w:rPr>
      <w:sz w:val="20"/>
    </w:rPr>
  </w:style>
  <w:style w:styleId="Style_25_ch" w:type="character">
    <w:name w:val="toc 9"/>
    <w:basedOn w:val="Style_2_ch"/>
    <w:link w:val="Style_25"/>
    <w:rPr>
      <w:sz w:val="20"/>
    </w:rPr>
  </w:style>
  <w:style w:styleId="Style_26" w:type="paragraph">
    <w:name w:val="toc 8"/>
    <w:basedOn w:val="Style_2"/>
    <w:next w:val="Style_2"/>
    <w:link w:val="Style_26_ch"/>
    <w:uiPriority w:val="39"/>
    <w:pPr>
      <w:spacing w:after="0" w:line="240" w:lineRule="auto"/>
      <w:ind w:firstLine="0" w:left="1400"/>
    </w:pPr>
    <w:rPr>
      <w:sz w:val="20"/>
    </w:rPr>
  </w:style>
  <w:style w:styleId="Style_26_ch" w:type="character">
    <w:name w:val="toc 8"/>
    <w:basedOn w:val="Style_2_ch"/>
    <w:link w:val="Style_26"/>
    <w:rPr>
      <w:sz w:val="20"/>
    </w:rPr>
  </w:style>
  <w:style w:styleId="Style_27" w:type="paragraph">
    <w:name w:val="toc 5"/>
    <w:basedOn w:val="Style_2"/>
    <w:next w:val="Style_2"/>
    <w:link w:val="Style_27_ch"/>
    <w:uiPriority w:val="39"/>
    <w:pPr>
      <w:spacing w:after="0" w:line="240" w:lineRule="auto"/>
      <w:ind w:firstLine="0" w:left="800"/>
    </w:pPr>
    <w:rPr>
      <w:sz w:val="20"/>
    </w:rPr>
  </w:style>
  <w:style w:styleId="Style_27_ch" w:type="character">
    <w:name w:val="toc 5"/>
    <w:basedOn w:val="Style_2_ch"/>
    <w:link w:val="Style_27"/>
    <w:rPr>
      <w:sz w:val="20"/>
    </w:rPr>
  </w:style>
  <w:style w:styleId="Style_28" w:type="paragraph">
    <w:name w:val="header"/>
    <w:basedOn w:val="Style_2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header"/>
    <w:basedOn w:val="Style_2_ch"/>
    <w:link w:val="Style_28"/>
    <w:rPr>
      <w:rFonts w:ascii="Times New Roman" w:hAnsi="Times New Roman"/>
      <w:sz w:val="24"/>
    </w:rPr>
  </w:style>
  <w:style w:styleId="Style_29" w:type="paragraph">
    <w:name w:val="FollowedHyperlink1"/>
    <w:link w:val="Style_29_ch"/>
    <w:rPr>
      <w:color w:val="800080"/>
      <w:u w:val="single"/>
    </w:rPr>
  </w:style>
  <w:style w:styleId="Style_29_ch" w:type="character">
    <w:name w:val="FollowedHyperlink1"/>
    <w:link w:val="Style_29"/>
    <w:rPr>
      <w:color w:val="800080"/>
      <w:u w:val="single"/>
    </w:rPr>
  </w:style>
  <w:style w:styleId="Style_30" w:type="paragraph">
    <w:name w:val="Subtitle"/>
    <w:basedOn w:val="Style_2"/>
    <w:next w:val="Style_2"/>
    <w:link w:val="Style_30_ch"/>
    <w:uiPriority w:val="11"/>
    <w:qFormat/>
    <w:pPr>
      <w:spacing w:after="0" w:line="240" w:lineRule="auto"/>
      <w:ind/>
    </w:pPr>
    <w:rPr>
      <w:rFonts w:ascii="XO Thames" w:hAnsi="XO Thames"/>
      <w:i w:val="1"/>
      <w:color w:val="616161"/>
      <w:sz w:val="24"/>
    </w:rPr>
  </w:style>
  <w:style w:styleId="Style_30_ch" w:type="character">
    <w:name w:val="Subtitle"/>
    <w:basedOn w:val="Style_2_ch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10"/>
    <w:next w:val="Style_2"/>
    <w:link w:val="Style_32_ch"/>
    <w:uiPriority w:val="39"/>
    <w:pPr>
      <w:ind w:firstLine="0" w:left="1800"/>
    </w:pPr>
    <w:rPr>
      <w:color w:val="000000"/>
    </w:rPr>
  </w:style>
  <w:style w:styleId="Style_32_ch" w:type="character">
    <w:name w:val="toc 10"/>
    <w:link w:val="Style_32"/>
    <w:rPr>
      <w:color w:val="000000"/>
    </w:rPr>
  </w:style>
  <w:style w:styleId="Style_33" w:type="paragraph">
    <w:name w:val="Title"/>
    <w:basedOn w:val="Style_2"/>
    <w:next w:val="Style_2"/>
    <w:link w:val="Style_33_ch"/>
    <w:uiPriority w:val="10"/>
    <w:qFormat/>
    <w:pPr>
      <w:spacing w:after="0" w:line="240" w:lineRule="auto"/>
      <w:ind/>
    </w:pPr>
    <w:rPr>
      <w:rFonts w:ascii="XO Thames" w:hAnsi="XO Thames"/>
      <w:b w:val="1"/>
      <w:color w:val="000000"/>
      <w:sz w:val="52"/>
    </w:rPr>
  </w:style>
  <w:style w:styleId="Style_33_ch" w:type="character">
    <w:name w:val="Title"/>
    <w:basedOn w:val="Style_2_ch"/>
    <w:link w:val="Style_33"/>
    <w:rPr>
      <w:rFonts w:ascii="XO Thames" w:hAnsi="XO Thames"/>
      <w:b w:val="1"/>
      <w:color w:val="000000"/>
      <w:sz w:val="52"/>
    </w:rPr>
  </w:style>
  <w:style w:styleId="Style_34" w:type="paragraph">
    <w:name w:val="heading 4"/>
    <w:basedOn w:val="Style_2"/>
    <w:next w:val="Style_2"/>
    <w:link w:val="Style_34_ch"/>
    <w:uiPriority w:val="9"/>
    <w:qFormat/>
    <w:pPr>
      <w:spacing w:after="120" w:before="120" w:line="240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basedOn w:val="Style_2_ch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Default Paragraph Font1"/>
    <w:link w:val="Style_35_ch"/>
    <w:rPr>
      <w:color w:val="000000"/>
    </w:rPr>
  </w:style>
  <w:style w:styleId="Style_35_ch" w:type="character">
    <w:name w:val="Default Paragraph Font1"/>
    <w:link w:val="Style_35"/>
    <w:rPr>
      <w:color w:val="000000"/>
    </w:rPr>
  </w:style>
  <w:style w:styleId="Style_36" w:type="paragraph">
    <w:name w:val="heading 2"/>
    <w:basedOn w:val="Style_2"/>
    <w:next w:val="Style_2"/>
    <w:link w:val="Style_36_ch"/>
    <w:uiPriority w:val="9"/>
    <w:qFormat/>
    <w:pPr>
      <w:spacing w:after="120" w:before="120" w:line="240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basedOn w:val="Style_2_ch"/>
    <w:link w:val="Style_36"/>
    <w:rPr>
      <w:rFonts w:ascii="XO Thames" w:hAnsi="XO Thames"/>
      <w:b w:val="1"/>
      <w:color w:val="00A0FF"/>
      <w:sz w:val="26"/>
    </w:rPr>
  </w:style>
  <w:style w:styleId="Style_37" w:type="paragraph">
    <w:name w:val="Body Text"/>
    <w:basedOn w:val="Style_2"/>
    <w:link w:val="Style_37_ch"/>
    <w:pPr>
      <w:spacing w:after="120" w:line="240" w:lineRule="auto"/>
      <w:ind/>
    </w:pPr>
    <w:rPr>
      <w:rFonts w:ascii="Times New Roman CYR" w:hAnsi="Times New Roman CYR"/>
      <w:sz w:val="20"/>
    </w:rPr>
  </w:style>
  <w:style w:styleId="Style_37_ch" w:type="character">
    <w:name w:val="Body Text"/>
    <w:basedOn w:val="Style_2_ch"/>
    <w:link w:val="Style_37"/>
    <w:rPr>
      <w:rFonts w:ascii="Times New Roman CYR" w:hAnsi="Times New Roman CYR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1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2023-11-17T03:16:36Z</dcterms:modified>
</cp:coreProperties>
</file>