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УСТЬ-ПИТСКОГО СЕЛЬСОВЕТА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ЕНИСЕЙСКОГО РАЙОНА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КРАСНОЯРСКОГО КРАЯ</w:t>
      </w:r>
    </w:p>
    <w:p w14:paraId="05000000">
      <w:pPr>
        <w:ind/>
        <w:jc w:val="both"/>
        <w:rPr>
          <w:sz w:val="32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  <w:r>
        <w:rPr>
          <w:sz w:val="28"/>
        </w:rPr>
        <w:t>27.07.2023г.                                    с.Усть-Пит                                      № 29-п.</w:t>
      </w:r>
    </w:p>
    <w:p w14:paraId="09000000">
      <w:pPr>
        <w:rPr>
          <w:rFonts w:ascii="Arial" w:hAnsi="Arial"/>
          <w:sz w:val="24"/>
          <w:vertAlign w:val="superscript"/>
        </w:rPr>
      </w:pPr>
    </w:p>
    <w:p w14:paraId="0A000000">
      <w:pPr>
        <w:rPr>
          <w:rFonts w:ascii="Arial" w:hAnsi="Arial"/>
          <w:sz w:val="24"/>
          <w:u w:val="single"/>
        </w:rPr>
      </w:pPr>
    </w:p>
    <w:p w14:paraId="0B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14:paraId="0C000000">
      <w:pPr>
        <w:ind/>
        <w:jc w:val="center"/>
        <w:rPr>
          <w:rFonts w:ascii="Arial" w:hAnsi="Arial"/>
          <w:sz w:val="24"/>
        </w:rPr>
      </w:pPr>
    </w:p>
    <w:p w14:paraId="0D000000">
      <w:pPr>
        <w:ind w:firstLine="70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>ф</w:t>
      </w:r>
      <w:r>
        <w:rPr>
          <w:rFonts w:ascii="Arial" w:hAnsi="Arial"/>
          <w:sz w:val="24"/>
        </w:rPr>
        <w:t>едеральным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закон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 xml:space="preserve"> от 21 декабря </w:t>
      </w:r>
      <w:r>
        <w:rPr>
          <w:rFonts w:ascii="Arial" w:hAnsi="Arial"/>
          <w:sz w:val="24"/>
        </w:rPr>
        <w:t>1994 г</w:t>
      </w:r>
      <w:r>
        <w:rPr>
          <w:rFonts w:ascii="Arial" w:hAnsi="Arial"/>
          <w:sz w:val="24"/>
        </w:rPr>
        <w:t xml:space="preserve">.           </w:t>
      </w:r>
      <w:r>
        <w:rPr>
          <w:rFonts w:ascii="Arial" w:hAnsi="Arial"/>
          <w:sz w:val="24"/>
        </w:rPr>
        <w:t xml:space="preserve"> № 69-ФЗ «О пожарной безопасности», от 22</w:t>
      </w:r>
      <w:r>
        <w:rPr>
          <w:rFonts w:ascii="Arial" w:hAnsi="Arial"/>
          <w:sz w:val="24"/>
        </w:rPr>
        <w:t xml:space="preserve"> июля </w:t>
      </w:r>
      <w:r>
        <w:rPr>
          <w:rFonts w:ascii="Arial" w:hAnsi="Arial"/>
          <w:sz w:val="24"/>
        </w:rPr>
        <w:t xml:space="preserve">2008 </w:t>
      </w: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№ 123-ФЗ «Технический регламент о требованиях пожарной безопасности», </w:t>
      </w: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от </w:t>
      </w:r>
      <w:r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6 октября </w:t>
      </w:r>
      <w:r>
        <w:rPr>
          <w:rFonts w:ascii="Arial" w:hAnsi="Arial"/>
          <w:sz w:val="24"/>
        </w:rPr>
        <w:t>2003 г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Arial" w:hAnsi="Arial"/>
          <w:sz w:val="24"/>
        </w:rPr>
        <w:t>»,</w:t>
      </w:r>
      <w:r>
        <w:rPr>
          <w:rFonts w:ascii="Arial" w:hAnsi="Arial"/>
          <w:sz w:val="24"/>
        </w:rPr>
        <w:t xml:space="preserve"> Постановлением Правительства Российской Федерации от 25.04.2012 </w:t>
      </w:r>
      <w:r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390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 противопожарном режиме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в целях обеспечения пожарной безопасности в местах общественного</w:t>
      </w:r>
      <w:r>
        <w:rPr>
          <w:rFonts w:ascii="Arial" w:hAnsi="Arial"/>
          <w:sz w:val="24"/>
        </w:rPr>
        <w:t xml:space="preserve"> пользования населенных пунктов, руководствуясь Уставом Усть-Питского сельсовета</w:t>
      </w:r>
    </w:p>
    <w:p w14:paraId="0E000000">
      <w:pPr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ПОСТАНОВЛЯЮ:</w:t>
      </w:r>
    </w:p>
    <w:p w14:paraId="0F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Территории </w:t>
      </w:r>
      <w:r>
        <w:rPr>
          <w:rFonts w:ascii="Arial" w:hAnsi="Arial"/>
          <w:sz w:val="24"/>
        </w:rPr>
        <w:t xml:space="preserve">общего пользования </w:t>
      </w:r>
      <w:r>
        <w:rPr>
          <w:rFonts w:ascii="Arial" w:hAnsi="Arial"/>
          <w:sz w:val="24"/>
        </w:rPr>
        <w:t xml:space="preserve">сельских </w:t>
      </w:r>
      <w:r>
        <w:rPr>
          <w:rFonts w:ascii="Arial" w:hAnsi="Arial"/>
          <w:sz w:val="24"/>
        </w:rPr>
        <w:t>насел</w:t>
      </w:r>
      <w:r>
        <w:rPr>
          <w:rFonts w:ascii="Arial" w:hAnsi="Arial"/>
          <w:sz w:val="24"/>
        </w:rPr>
        <w:t>ё</w:t>
      </w:r>
      <w:r>
        <w:rPr>
          <w:rFonts w:ascii="Arial" w:hAnsi="Arial"/>
          <w:sz w:val="24"/>
        </w:rPr>
        <w:t>нных пунктов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обеспечиваются </w:t>
      </w:r>
      <w:r>
        <w:rPr>
          <w:rFonts w:ascii="Arial" w:hAnsi="Arial"/>
          <w:sz w:val="24"/>
        </w:rPr>
        <w:t>первичны</w:t>
      </w:r>
      <w:r>
        <w:rPr>
          <w:rFonts w:ascii="Arial" w:hAnsi="Arial"/>
          <w:sz w:val="24"/>
        </w:rPr>
        <w:t>ми</w:t>
      </w:r>
      <w:r>
        <w:rPr>
          <w:rFonts w:ascii="Arial" w:hAnsi="Arial"/>
          <w:sz w:val="24"/>
        </w:rPr>
        <w:t xml:space="preserve"> средств</w:t>
      </w:r>
      <w:r>
        <w:rPr>
          <w:rFonts w:ascii="Arial" w:hAnsi="Arial"/>
          <w:sz w:val="24"/>
        </w:rPr>
        <w:t>ами</w:t>
      </w:r>
      <w:r>
        <w:rPr>
          <w:rFonts w:ascii="Arial" w:hAnsi="Arial"/>
          <w:sz w:val="24"/>
        </w:rPr>
        <w:t xml:space="preserve"> тушения пожаров </w:t>
      </w:r>
      <w:r>
        <w:rPr>
          <w:rFonts w:ascii="Arial" w:hAnsi="Arial"/>
          <w:sz w:val="24"/>
        </w:rPr>
        <w:t>при проведении на них массовых мероприятий.</w:t>
      </w:r>
    </w:p>
    <w:p w14:paraId="10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Территорию общего пользования  обеспечивается из расчета 2 огнетушителя с минимальным рангом тушения модельного очага пожара 2А на </w:t>
      </w:r>
      <w:r>
        <w:rPr>
          <w:rFonts w:ascii="Arial" w:hAnsi="Arial"/>
          <w:sz w:val="24"/>
        </w:rPr>
        <w:t>каждые 800 м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>.</w:t>
      </w:r>
    </w:p>
    <w:p w14:paraId="11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</w:t>
      </w:r>
      <w:r>
        <w:rPr>
          <w:rFonts w:ascii="Arial" w:hAnsi="Arial"/>
          <w:sz w:val="24"/>
        </w:rPr>
        <w:t xml:space="preserve">тветственность за обеспечение места проведения массового мероприятия указанными </w:t>
      </w:r>
      <w:r>
        <w:rPr>
          <w:rFonts w:ascii="Arial" w:hAnsi="Arial"/>
          <w:sz w:val="24"/>
        </w:rPr>
        <w:t>средств</w:t>
      </w:r>
      <w:r>
        <w:rPr>
          <w:rFonts w:ascii="Arial" w:hAnsi="Arial"/>
          <w:sz w:val="24"/>
        </w:rPr>
        <w:t>ами</w:t>
      </w:r>
      <w:r>
        <w:rPr>
          <w:rFonts w:ascii="Arial" w:hAnsi="Arial"/>
          <w:sz w:val="24"/>
        </w:rPr>
        <w:t xml:space="preserve"> тушения пожаров </w:t>
      </w:r>
      <w:r>
        <w:rPr>
          <w:rFonts w:ascii="Arial" w:hAnsi="Arial"/>
          <w:sz w:val="24"/>
        </w:rPr>
        <w:t>возлагается на организатора массового мероприятия.</w:t>
      </w:r>
    </w:p>
    <w:p w14:paraId="12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 №  6-п. от 14.03.2018г. " Об утверждении перечня первичных  средств пожаротушения  в местах общего пользования  населенных пунктов" отменить.</w:t>
      </w:r>
    </w:p>
    <w:p w14:paraId="13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Опубликовать настоящее постановление в печатном издании "Усть-Питский вестник"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и разместить на официальном сайте администрации Усть-Питского сельсовета</w:t>
      </w:r>
      <w:r>
        <w:rPr>
          <w:rFonts w:ascii="Arial" w:hAnsi="Arial"/>
          <w:sz w:val="24"/>
        </w:rPr>
        <w:t>.</w:t>
      </w:r>
    </w:p>
    <w:p w14:paraId="14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Постановление вступает в законную силу с момента официального опубликования.</w:t>
      </w:r>
    </w:p>
    <w:p w14:paraId="15000000">
      <w:pPr>
        <w:numPr>
          <w:ilvl w:val="0"/>
          <w:numId w:val="1"/>
        </w:num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16000000">
      <w:pPr>
        <w:ind w:firstLine="709"/>
        <w:jc w:val="both"/>
        <w:rPr>
          <w:rFonts w:ascii="Arial" w:hAnsi="Arial"/>
          <w:sz w:val="24"/>
        </w:rPr>
      </w:pPr>
    </w:p>
    <w:p w14:paraId="17000000">
      <w:pPr>
        <w:ind w:firstLine="709"/>
        <w:jc w:val="both"/>
        <w:rPr>
          <w:rFonts w:ascii="Arial" w:hAnsi="Arial"/>
          <w:sz w:val="24"/>
        </w:rPr>
      </w:pPr>
    </w:p>
    <w:p w14:paraId="18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                                                                                   В.В. Семенов</w:t>
      </w:r>
    </w:p>
    <w:p w14:paraId="19000000">
      <w:pPr>
        <w:rPr>
          <w:sz w:val="28"/>
        </w:rPr>
      </w:pPr>
    </w:p>
    <w:sectPr>
      <w:pgSz w:h="16838" w:w="11906"/>
      <w:pgMar w:bottom="1134" w:footer="0" w:gutter="0" w:header="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114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hanging="360" w:left="1860"/>
      </w:pPr>
    </w:lvl>
    <w:lvl w:ilvl="2">
      <w:start w:val="1"/>
      <w:numFmt w:val="lowerRoman"/>
      <w:lvlText w:val="%3."/>
      <w:lvlJc w:val="right"/>
      <w:pPr>
        <w:ind w:hanging="180" w:left="2580"/>
      </w:pPr>
    </w:lvl>
    <w:lvl w:ilvl="3">
      <w:start w:val="1"/>
      <w:numFmt w:val="decimal"/>
      <w:lvlText w:val="%4."/>
      <w:lvlJc w:val="left"/>
      <w:pPr>
        <w:ind w:hanging="360" w:left="3300"/>
      </w:pPr>
    </w:lvl>
    <w:lvl w:ilvl="4">
      <w:start w:val="1"/>
      <w:numFmt w:val="lowerLetter"/>
      <w:lvlText w:val="%5."/>
      <w:lvlJc w:val="left"/>
      <w:pPr>
        <w:ind w:hanging="360" w:left="4020"/>
      </w:pPr>
    </w:lvl>
    <w:lvl w:ilvl="5">
      <w:start w:val="1"/>
      <w:numFmt w:val="lowerRoman"/>
      <w:lvlText w:val="%6."/>
      <w:lvlJc w:val="right"/>
      <w:pPr>
        <w:ind w:hanging="180" w:left="4740"/>
      </w:pPr>
    </w:lvl>
    <w:lvl w:ilvl="6">
      <w:start w:val="1"/>
      <w:numFmt w:val="decimal"/>
      <w:lvlText w:val="%7."/>
      <w:lvlJc w:val="left"/>
      <w:pPr>
        <w:ind w:hanging="360" w:left="5460"/>
      </w:pPr>
    </w:lvl>
    <w:lvl w:ilvl="7">
      <w:start w:val="1"/>
      <w:numFmt w:val="lowerLetter"/>
      <w:lvlText w:val="%8."/>
      <w:lvlJc w:val="left"/>
      <w:pPr>
        <w:ind w:hanging="360" w:left="6180"/>
      </w:pPr>
    </w:lvl>
    <w:lvl w:ilvl="8">
      <w:start w:val="1"/>
      <w:numFmt w:val="lowerRoman"/>
      <w:lvlText w:val="%9."/>
      <w:lvlJc w:val="right"/>
      <w:pPr>
        <w:ind w:hanging="180" w:left="69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footer"/>
    <w:basedOn w:val="Style_1"/>
    <w:link w:val="Style_2_ch"/>
    <w:pPr>
      <w:tabs>
        <w:tab w:leader="none" w:pos="4320" w:val="center"/>
        <w:tab w:leader="none" w:pos="8640" w:val="right"/>
      </w:tabs>
      <w:spacing w:after="200" w:line="276" w:lineRule="auto"/>
      <w:ind/>
    </w:pPr>
    <w:rPr>
      <w:rFonts w:ascii="Calibri" w:hAnsi="Calibri"/>
      <w:sz w:val="22"/>
    </w:rPr>
  </w:style>
  <w:style w:styleId="Style_2_ch" w:type="character">
    <w:name w:val="footer"/>
    <w:basedOn w:val="Style_1_ch"/>
    <w:link w:val="Style_2"/>
    <w:rPr>
      <w:rFonts w:ascii="Calibri" w:hAnsi="Calibri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ConsPlusNorma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ConsNormal"/>
    <w:link w:val="Style_11_ch"/>
    <w:pPr>
      <w:widowControl w:val="0"/>
      <w:ind w:firstLine="720" w:right="19772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toc 3"/>
    <w:next w:val="Style_1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Body Text Indent 2"/>
    <w:basedOn w:val="Style_1"/>
    <w:link w:val="Style_13_ch"/>
    <w:pPr>
      <w:spacing w:after="120" w:line="480" w:lineRule="auto"/>
      <w:ind w:firstLine="0" w:left="283"/>
    </w:pPr>
    <w:rPr>
      <w:sz w:val="20"/>
    </w:rPr>
  </w:style>
  <w:style w:styleId="Style_13_ch" w:type="character">
    <w:name w:val="Body Text Indent 2"/>
    <w:basedOn w:val="Style_1_ch"/>
    <w:link w:val="Style_13"/>
    <w:rPr>
      <w:sz w:val="20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er"/>
    <w:basedOn w:val="Style_1"/>
    <w:link w:val="Style_15_ch"/>
    <w:pPr>
      <w:tabs>
        <w:tab w:leader="none" w:pos="4680" w:val="center"/>
        <w:tab w:leader="none" w:pos="9360" w:val="right"/>
      </w:tabs>
      <w:ind/>
    </w:pPr>
    <w:rPr>
      <w:rFonts w:ascii="Calibri" w:hAnsi="Calibri"/>
      <w:sz w:val="22"/>
    </w:rPr>
  </w:style>
  <w:style w:styleId="Style_15_ch" w:type="character">
    <w:name w:val="header"/>
    <w:basedOn w:val="Style_1_ch"/>
    <w:link w:val="Style_15"/>
    <w:rPr>
      <w:rFonts w:ascii="Calibri" w:hAnsi="Calibri"/>
      <w:sz w:val="22"/>
    </w:rPr>
  </w:style>
  <w:style w:styleId="Style_16" w:type="paragraph">
    <w:name w:val="heading 1"/>
    <w:basedOn w:val="Style_1"/>
    <w:next w:val="Style_1"/>
    <w:link w:val="Style_16_ch"/>
    <w:uiPriority w:val="9"/>
    <w:qFormat/>
    <w:pPr>
      <w:keepNext w:val="1"/>
      <w:ind/>
      <w:jc w:val="center"/>
      <w:outlineLvl w:val="0"/>
    </w:pPr>
    <w:rPr>
      <w:b w:val="1"/>
    </w:rPr>
  </w:style>
  <w:style w:styleId="Style_16_ch" w:type="character">
    <w:name w:val="heading 1"/>
    <w:basedOn w:val="Style_1_ch"/>
    <w:link w:val="Style_16"/>
    <w:rPr>
      <w:b w:val="1"/>
    </w:rPr>
  </w:style>
  <w:style w:styleId="Style_17" w:type="paragraph">
    <w:name w:val="Normal (Web)"/>
    <w:basedOn w:val="Style_1"/>
    <w:link w:val="Style_17_ch"/>
    <w:pPr>
      <w:spacing w:afterAutospacing="on" w:beforeAutospacing="on"/>
      <w:ind/>
    </w:pPr>
  </w:style>
  <w:style w:styleId="Style_17_ch" w:type="character">
    <w:name w:val="Normal (Web)"/>
    <w:basedOn w:val="Style_1_ch"/>
    <w:link w:val="Style_17"/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Nonformat"/>
    <w:link w:val="Style_22_ch"/>
    <w:pPr>
      <w:widowControl w:val="0"/>
      <w:ind w:right="19772"/>
    </w:pPr>
    <w:rPr>
      <w:rFonts w:ascii="Courier New" w:hAnsi="Courier New"/>
    </w:rPr>
  </w:style>
  <w:style w:styleId="Style_22_ch" w:type="character">
    <w:name w:val="ConsNonformat"/>
    <w:link w:val="Style_22"/>
    <w:rPr>
      <w:rFonts w:ascii="Courier New" w:hAnsi="Courier New"/>
    </w:rPr>
  </w:style>
  <w:style w:styleId="Style_23" w:type="paragraph">
    <w:name w:val="toc 9"/>
    <w:next w:val="Style_1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Balloon Text"/>
    <w:basedOn w:val="Style_1"/>
    <w:link w:val="Style_25_ch"/>
    <w:rPr>
      <w:rFonts w:ascii="Segoe UI" w:hAnsi="Segoe UI"/>
      <w:sz w:val="18"/>
    </w:rPr>
  </w:style>
  <w:style w:styleId="Style_25_ch" w:type="character">
    <w:name w:val="Balloon Text"/>
    <w:basedOn w:val="Style_1_ch"/>
    <w:link w:val="Style_25"/>
    <w:rPr>
      <w:rFonts w:ascii="Segoe UI" w:hAnsi="Segoe UI"/>
      <w:sz w:val="18"/>
    </w:rPr>
  </w:style>
  <w:style w:styleId="Style_26" w:type="paragraph">
    <w:name w:val="toc 5"/>
    <w:next w:val="Style_1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Знак"/>
    <w:basedOn w:val="Style_1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Знак"/>
    <w:basedOn w:val="Style_1_ch"/>
    <w:link w:val="Style_27"/>
    <w:rPr>
      <w:rFonts w:ascii="Verdana" w:hAnsi="Verdana"/>
      <w:sz w:val="20"/>
    </w:rPr>
  </w:style>
  <w:style w:styleId="Style_28" w:type="paragraph">
    <w:name w:val="Subtitle"/>
    <w:next w:val="Style_1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1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Body Text"/>
    <w:basedOn w:val="Style_1"/>
    <w:link w:val="Style_32_ch"/>
    <w:pPr>
      <w:spacing w:after="120"/>
      <w:ind/>
    </w:pPr>
    <w:rPr>
      <w:sz w:val="18"/>
    </w:rPr>
  </w:style>
  <w:style w:styleId="Style_32_ch" w:type="character">
    <w:name w:val="Body Text"/>
    <w:basedOn w:val="Style_1_ch"/>
    <w:link w:val="Style_32"/>
    <w:rPr>
      <w:sz w:val="18"/>
    </w:rPr>
  </w:style>
  <w:style w:styleId="Style_33" w:type="paragraph">
    <w:name w:val="heading 2"/>
    <w:next w:val="Style_1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34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2023-07-31T03:19:31Z</dcterms:modified>
</cp:coreProperties>
</file>