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F4" w:rsidRDefault="00771FF4">
      <w:pPr>
        <w:pStyle w:val="ListParagraph"/>
        <w:spacing w:after="0"/>
        <w:ind w:left="6096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Приложение № 3</w:t>
      </w:r>
    </w:p>
    <w:p w:rsidR="00771FF4" w:rsidRDefault="00771FF4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 муниципальной программе  Усть-Питского  сельсовета</w:t>
      </w:r>
    </w:p>
    <w:p w:rsidR="00771FF4" w:rsidRDefault="00771FF4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Енисейского района «Улучшение </w:t>
      </w:r>
    </w:p>
    <w:p w:rsidR="00771FF4" w:rsidRDefault="00771FF4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качества жизни населения в муниципальном образовании  Усть-Питский  сельсовет</w:t>
      </w:r>
    </w:p>
    <w:p w:rsidR="00771FF4" w:rsidRDefault="00771FF4">
      <w:pPr>
        <w:pStyle w:val="ListParagraph"/>
        <w:spacing w:after="0"/>
        <w:ind w:left="6096" w:right="139"/>
        <w:rPr>
          <w:rFonts w:ascii="Arial" w:hAnsi="Arial"/>
          <w:sz w:val="24"/>
        </w:rPr>
      </w:pPr>
      <w:r>
        <w:rPr>
          <w:rFonts w:ascii="Arial" w:hAnsi="Arial"/>
          <w:sz w:val="24"/>
        </w:rPr>
        <w:t>на 2024-2026годы»</w:t>
      </w:r>
    </w:p>
    <w:p w:rsidR="00771FF4" w:rsidRDefault="00771FF4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</w:p>
    <w:p w:rsidR="00771FF4" w:rsidRDefault="00771FF4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ПОДПРОГРАММА </w:t>
      </w:r>
    </w:p>
    <w:p w:rsidR="00771FF4" w:rsidRDefault="00771FF4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«ВЫПОЛНЕНИЕ ОТДЕЛЬНЫХ ПОЛНОМОЧИЙ ПО СОЦИАЛЬНОЙ ПОДДЕРЖКЕ И ПОМОЩИ НАСЕЛЕНИЮ»</w:t>
      </w:r>
    </w:p>
    <w:p w:rsidR="00771FF4" w:rsidRDefault="00771FF4">
      <w:pPr>
        <w:pStyle w:val="ListParagraph"/>
        <w:spacing w:after="0"/>
        <w:ind w:left="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ОБРАЗОВАНИИ  УСТЬ-ПИТСКИЙ СЕЛЬСОВЕТНА 2024-2026 ГОДЫ»</w:t>
      </w:r>
    </w:p>
    <w:p w:rsidR="00771FF4" w:rsidRDefault="00771FF4">
      <w:pPr>
        <w:pStyle w:val="ListParagraph"/>
        <w:spacing w:after="0"/>
        <w:ind w:left="0"/>
        <w:rPr>
          <w:rFonts w:ascii="Arial" w:hAnsi="Arial"/>
          <w:sz w:val="24"/>
        </w:rPr>
      </w:pPr>
    </w:p>
    <w:p w:rsidR="00771FF4" w:rsidRDefault="00771FF4">
      <w:pPr>
        <w:pStyle w:val="Heading2"/>
        <w:jc w:val="both"/>
        <w:rPr>
          <w:rFonts w:ascii="Arial" w:hAnsi="Arial"/>
          <w:b w:val="0"/>
          <w:color w:val="000000"/>
          <w:sz w:val="24"/>
        </w:rPr>
      </w:pPr>
      <w:r>
        <w:rPr>
          <w:rFonts w:ascii="Arial" w:hAnsi="Arial"/>
          <w:b w:val="0"/>
          <w:color w:val="000000"/>
          <w:sz w:val="24"/>
        </w:rPr>
        <w:t>1. Паспорт подпрограммы «Выполнение отдельных полномочий по социальной поддержке и помощи населению»муниципальной программы Усть-Питского  сельсовета Енисейского района «Улучшение качества жизни в муниципальном образовании</w:t>
      </w:r>
      <w:bookmarkStart w:id="0" w:name="_GoBack"/>
      <w:bookmarkEnd w:id="0"/>
      <w:r>
        <w:rPr>
          <w:rFonts w:ascii="Arial" w:hAnsi="Arial"/>
          <w:b w:val="0"/>
          <w:color w:val="000000"/>
          <w:sz w:val="24"/>
        </w:rPr>
        <w:t>Усть-Питский  сельсовет на 2024-2026годы»</w:t>
      </w:r>
    </w:p>
    <w:p w:rsidR="00771FF4" w:rsidRDefault="00771FF4">
      <w:pPr>
        <w:rPr>
          <w:rFonts w:ascii="Arial" w:hAnsi="Arial"/>
          <w:sz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5"/>
        <w:gridCol w:w="6237"/>
      </w:tblGrid>
      <w:tr w:rsidR="00771FF4">
        <w:trPr>
          <w:trHeight w:val="1196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outlineLvl w:val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771FF4">
        <w:trPr>
          <w:trHeight w:val="1097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«Улучшение качества жизни в муниципальном образовании  Усть-Питскийсельсовет на 2024-2026 годы»</w:t>
            </w:r>
          </w:p>
        </w:tc>
      </w:tr>
      <w:tr w:rsidR="00771FF4">
        <w:trPr>
          <w:trHeight w:val="2159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010800"/>
                <w:spacing w:val="2"/>
                <w:sz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771FF4">
        <w:trPr>
          <w:trHeight w:val="780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 Усть-Питского  сельсовета Енисейского района</w:t>
            </w:r>
          </w:p>
        </w:tc>
      </w:tr>
      <w:tr w:rsidR="00771FF4"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Управление социальной защиты населения администрации Енисейского района</w:t>
            </w:r>
          </w:p>
        </w:tc>
      </w:tr>
      <w:tr w:rsidR="00771FF4">
        <w:trPr>
          <w:trHeight w:val="772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 Усть-Питского  сельсовета Енисейского района</w:t>
            </w:r>
          </w:p>
        </w:tc>
      </w:tr>
      <w:tr w:rsidR="00771FF4">
        <w:trPr>
          <w:trHeight w:val="1149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Цель подпрограммы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771FF4">
        <w:trPr>
          <w:trHeight w:val="1405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771FF4" w:rsidRPr="001B56E3" w:rsidRDefault="00771FF4">
            <w:pPr>
              <w:pStyle w:val="ConsPlusCell"/>
              <w:rPr>
                <w:rFonts w:ascii="Arial" w:hAnsi="Arial"/>
                <w:color w:val="000000"/>
              </w:rPr>
            </w:pPr>
            <w:r w:rsidRPr="001B56E3">
              <w:rPr>
                <w:rFonts w:ascii="Arial" w:hAnsi="Arial"/>
                <w:color w:val="000000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771FF4">
        <w:trPr>
          <w:trHeight w:val="982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Этапы и сроки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Подпрограмма реализуется в течение 2024−2026 г.</w:t>
            </w:r>
          </w:p>
        </w:tc>
      </w:tr>
      <w:tr w:rsidR="00771FF4"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Целевые показатели и показатели результативности 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771FF4">
        <w:trPr>
          <w:trHeight w:val="2169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Объем финансирования подпрограммы составляет</w:t>
            </w:r>
            <w:r>
              <w:rPr>
                <w:rFonts w:ascii="Arial" w:hAnsi="Arial"/>
                <w:sz w:val="24"/>
                <w:shd w:val="clear" w:color="auto" w:fill="FFD821"/>
              </w:rPr>
              <w:t xml:space="preserve">-236,7 </w:t>
            </w:r>
            <w:r>
              <w:rPr>
                <w:rFonts w:ascii="Arial" w:hAnsi="Arial"/>
                <w:sz w:val="24"/>
              </w:rPr>
              <w:t>тыс. рублей за счет средств бюджета поселения, в том числе по годам: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2024 году –78,9 тыс. рублей;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2025 году – 78,9 тыс. рублей;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в 2026 году – 78,9 тыс. рублей.</w:t>
            </w:r>
          </w:p>
        </w:tc>
      </w:tr>
      <w:tr w:rsidR="00771FF4">
        <w:trPr>
          <w:trHeight w:val="2755"/>
        </w:trPr>
        <w:tc>
          <w:tcPr>
            <w:tcW w:w="3545" w:type="dxa"/>
            <w:vAlign w:val="center"/>
          </w:tcPr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ТЫС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771FF4" w:rsidRDefault="00771FF4">
            <w:pPr>
              <w:spacing w:line="240" w:lineRule="auto"/>
              <w:ind w:firstLine="31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771FF4" w:rsidRDefault="00771FF4">
            <w:pPr>
              <w:spacing w:after="0" w:line="24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771FF4" w:rsidRDefault="00771FF4">
      <w:pPr>
        <w:spacing w:after="0"/>
        <w:rPr>
          <w:rFonts w:ascii="Arial" w:hAnsi="Arial"/>
          <w:sz w:val="24"/>
        </w:rPr>
      </w:pPr>
    </w:p>
    <w:p w:rsidR="00771FF4" w:rsidRDefault="00771F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  <w:t>2. Основные разделы подпрограммы</w:t>
      </w:r>
    </w:p>
    <w:p w:rsidR="00771FF4" w:rsidRDefault="00771F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771FF4" w:rsidRDefault="00771FF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 xml:space="preserve">Решением Усть-Питского сельского Совета депутатов от 14.11.2022 №11-1р «Об утверждении Положения о порядке назначения, перерасчете пенсии за выслугу лет лицам, замещавшим должности муниципальной службы в  Усть- Питском сельсовете», от 14.11.2022 г.№11-2р «Об утверждении Положения о порядке назначения,  перерасчета размера и выплаты  пенсии за выслугу лет, лицам  замещавшим муниципальные должности  на постоянной  основе в Усть-Питском сельсовете". </w:t>
      </w:r>
    </w:p>
    <w:p w:rsidR="00771FF4" w:rsidRDefault="00771FF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Жители села Усть-Пит, длительное время исполнявший обязанности главы сельсовета, Юрков А.И Овчинников В.Т. и  Шадрина Л.П.длительное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:rsidR="00771FF4" w:rsidRDefault="00771FF4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2.2.Цель, задачи, этапы и сроки выполнения подпрограммы, целевые индикаторы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Целью подпрограммы является: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Повышение качества жизни граждан, замещавшим должности муниципальной службы в Енисейском районе.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указанной цели необходимо решить задачу: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Решение поставленной задачи позволит обеспечить достижения следующих показателей:</w:t>
      </w:r>
    </w:p>
    <w:p w:rsidR="00771FF4" w:rsidRDefault="00771FF4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Этап подпрограммы соответствует календарному году.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целевых индикаторов подпрограммы представлен в приложении №1.</w:t>
      </w:r>
    </w:p>
    <w:p w:rsidR="00771FF4" w:rsidRDefault="00771FF4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Программу предусматривается реализовать в 2024-2026 годах.</w:t>
      </w:r>
    </w:p>
    <w:p w:rsidR="00771FF4" w:rsidRDefault="00771F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2.3. Механизм реализации подпрограммы</w:t>
      </w:r>
    </w:p>
    <w:p w:rsidR="00771FF4" w:rsidRDefault="00771FF4">
      <w:pPr>
        <w:spacing w:after="0"/>
        <w:ind w:firstLine="5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771FF4" w:rsidRDefault="00771FF4">
      <w:pPr>
        <w:spacing w:after="0" w:line="24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r>
        <w:rPr>
          <w:rFonts w:ascii="Arial" w:hAnsi="Arial"/>
          <w:color w:val="010800"/>
          <w:spacing w:val="2"/>
          <w:sz w:val="24"/>
        </w:rPr>
        <w:t xml:space="preserve">администрации  Усть-Питского сельсовета  от 14.10.2019г. № 14/1–п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:rsidR="00771FF4" w:rsidRDefault="00771FF4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2.4. Управление подпрограммой и контроль за ходом её выполнения.</w:t>
      </w:r>
    </w:p>
    <w:p w:rsidR="00771FF4" w:rsidRDefault="00771FF4">
      <w:pPr>
        <w:spacing w:after="0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771FF4" w:rsidRDefault="00771FF4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771FF4" w:rsidRDefault="00771FF4">
      <w:pPr>
        <w:widowControl w:val="0"/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подготовка отчетов о ходе и результатах выполнения мероприятий настоящей подпрограммы.</w:t>
      </w:r>
    </w:p>
    <w:p w:rsidR="00771FF4" w:rsidRDefault="00771FF4">
      <w:pPr>
        <w:widowControl w:val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771FF4" w:rsidRDefault="00771F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2.5. Оценка социально-экономической эффективности подпрограммы.</w:t>
      </w:r>
    </w:p>
    <w:p w:rsidR="00771FF4" w:rsidRDefault="00771FF4">
      <w:pPr>
        <w:widowControl w:val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771FF4" w:rsidRDefault="00771FF4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2.6. Мероприятия подпрограммы</w:t>
      </w:r>
    </w:p>
    <w:p w:rsidR="00771FF4" w:rsidRDefault="00771FF4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:rsidR="00771FF4" w:rsidRDefault="00771FF4">
      <w:pPr>
        <w:spacing w:after="0"/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771FF4" w:rsidRDefault="00771FF4">
      <w:pPr>
        <w:widowControl w:val="0"/>
        <w:spacing w:after="0" w:line="240" w:lineRule="auto"/>
        <w:ind w:firstLine="709"/>
        <w:jc w:val="both"/>
        <w:outlineLvl w:val="1"/>
        <w:rPr>
          <w:rFonts w:ascii="Arial" w:hAnsi="Arial"/>
          <w:sz w:val="24"/>
        </w:rPr>
      </w:pPr>
    </w:p>
    <w:p w:rsidR="00771FF4" w:rsidRDefault="00771FF4">
      <w:pPr>
        <w:widowControl w:val="0"/>
        <w:spacing w:line="240" w:lineRule="auto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771FF4" w:rsidRDefault="00771FF4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Мероприятия подпрограммы предусматривают их реализацию за счет средств бюджета поселения</w:t>
      </w:r>
    </w:p>
    <w:p w:rsidR="00771FF4" w:rsidRDefault="00771FF4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Объем расходов из средств краевого бюджета на реализацию мероприятий подпрограммы на 2024 - 2026 годы составляет – 236,7 тыс. рублей, в том числе по годам:</w:t>
      </w:r>
    </w:p>
    <w:p w:rsidR="00771FF4" w:rsidRDefault="00771FF4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2024 год – 78,9 тыс. рублей;</w:t>
      </w:r>
    </w:p>
    <w:p w:rsidR="00771FF4" w:rsidRDefault="00771FF4">
      <w:pPr>
        <w:spacing w:after="0" w:line="240" w:lineRule="auto"/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2025 год  –78,9 тыс. рублей;</w:t>
      </w:r>
    </w:p>
    <w:p w:rsidR="00771FF4" w:rsidRDefault="00771FF4">
      <w:pPr>
        <w:widowControl w:val="0"/>
        <w:spacing w:after="0"/>
        <w:ind w:firstLine="709"/>
        <w:jc w:val="both"/>
        <w:outlineLvl w:val="1"/>
        <w:rPr>
          <w:rFonts w:ascii="Arial" w:hAnsi="Arial"/>
          <w:sz w:val="24"/>
        </w:rPr>
      </w:pPr>
      <w:r>
        <w:rPr>
          <w:rFonts w:ascii="Arial" w:hAnsi="Arial"/>
          <w:sz w:val="24"/>
        </w:rPr>
        <w:t>2026 год – 78,9 тыс. рублей.</w:t>
      </w:r>
    </w:p>
    <w:p w:rsidR="00771FF4" w:rsidRDefault="00771FF4">
      <w:pPr>
        <w:sectPr w:rsidR="00771FF4">
          <w:headerReference w:type="default" r:id="rId6"/>
          <w:pgSz w:w="11906" w:h="16838"/>
          <w:pgMar w:top="1134" w:right="850" w:bottom="1134" w:left="1418" w:header="708" w:footer="708" w:gutter="0"/>
          <w:cols w:space="720"/>
        </w:sectPr>
      </w:pPr>
    </w:p>
    <w:p w:rsidR="00771FF4" w:rsidRDefault="00771FF4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:rsidR="00771FF4" w:rsidRDefault="00771FF4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Усть-ПитскогосельсоветаЕнисейского района «Улучшение </w:t>
      </w:r>
    </w:p>
    <w:p w:rsidR="00771FF4" w:rsidRDefault="00771FF4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 Усть-Питскийсельсовета 2024-2026годы»</w:t>
      </w:r>
    </w:p>
    <w:p w:rsidR="00771FF4" w:rsidRDefault="00771FF4">
      <w:pPr>
        <w:spacing w:after="0"/>
        <w:ind w:left="10915"/>
        <w:rPr>
          <w:sz w:val="22"/>
        </w:rPr>
      </w:pPr>
    </w:p>
    <w:p w:rsidR="00771FF4" w:rsidRDefault="00771FF4">
      <w:pPr>
        <w:spacing w:after="0"/>
        <w:ind w:left="10915"/>
        <w:rPr>
          <w:sz w:val="22"/>
        </w:rPr>
      </w:pPr>
    </w:p>
    <w:p w:rsidR="00771FF4" w:rsidRDefault="00771FF4">
      <w:pPr>
        <w:spacing w:after="0"/>
        <w:ind w:firstLine="540"/>
        <w:jc w:val="center"/>
        <w:outlineLvl w:val="0"/>
      </w:pPr>
      <w:r>
        <w:t>Перечень целевых индикаторов подпрограммы</w:t>
      </w:r>
    </w:p>
    <w:p w:rsidR="00771FF4" w:rsidRDefault="00771FF4">
      <w:pPr>
        <w:spacing w:after="0"/>
        <w:ind w:firstLine="540"/>
        <w:jc w:val="center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771F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</w:tr>
      <w:tr w:rsidR="00771FF4">
        <w:trPr>
          <w:trHeight w:val="4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</w:p>
        </w:tc>
      </w:tr>
      <w:tr w:rsidR="00771F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771FF4">
        <w:trPr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771FF4" w:rsidRDefault="00771FF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jc w:val="both"/>
      </w:pPr>
      <w:r>
        <w:t>Глава  Усть-Питского сельсовета                                                                                          В. В. Семенов</w:t>
      </w: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spacing w:after="0"/>
        <w:rPr>
          <w:sz w:val="22"/>
        </w:rPr>
      </w:pPr>
    </w:p>
    <w:p w:rsidR="00771FF4" w:rsidRDefault="00771FF4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:rsidR="00771FF4" w:rsidRDefault="00771FF4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«Выполнение отдельных полномочий по социальной поддержке и помощи населению», реализуемой  в рамках муниципальной программы  Усть-Питского сельсовета Енисейского района «Улучшение </w:t>
      </w:r>
    </w:p>
    <w:p w:rsidR="00771FF4" w:rsidRDefault="00771FF4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в муниципальном образовании  Усть-Питский сельсовета 2024-2026 годы»</w:t>
      </w:r>
    </w:p>
    <w:p w:rsidR="00771FF4" w:rsidRDefault="00771FF4">
      <w:pPr>
        <w:spacing w:after="0"/>
        <w:ind w:left="10915"/>
        <w:rPr>
          <w:sz w:val="22"/>
        </w:rPr>
      </w:pPr>
    </w:p>
    <w:p w:rsidR="00771FF4" w:rsidRDefault="00771FF4">
      <w:pPr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:rsidR="00771FF4" w:rsidRDefault="00771FF4">
      <w:pPr>
        <w:spacing w:after="0"/>
        <w:rPr>
          <w:sz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771FF4" w:rsidTr="009D505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71FF4" w:rsidTr="009D505F">
        <w:trPr>
          <w:trHeight w:val="1058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/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2025год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/>
        </w:tc>
      </w:tr>
      <w:tr w:rsidR="00771FF4" w:rsidTr="009D505F">
        <w:trPr>
          <w:trHeight w:val="2411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Цель подпрограммы «</w:t>
            </w:r>
            <w:r>
              <w:rPr>
                <w:sz w:val="22"/>
              </w:rPr>
              <w:t>Повышение качества жизни граждан, замещавшим должности муниципальной службы в Енисейском районе</w:t>
            </w:r>
            <w:r>
              <w:rPr>
                <w:sz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  <w:shd w:val="clear" w:color="auto" w:fill="FFD8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</w:tr>
      <w:tr w:rsidR="00771FF4" w:rsidTr="009D505F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Задача 1.  «</w:t>
            </w:r>
            <w:r>
              <w:rPr>
                <w:sz w:val="22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</w:t>
            </w:r>
            <w:r>
              <w:rPr>
                <w:sz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  <w:p w:rsidR="00771FF4" w:rsidRDefault="00771FF4">
            <w:pPr>
              <w:rPr>
                <w:sz w:val="20"/>
              </w:rPr>
            </w:pPr>
          </w:p>
          <w:p w:rsidR="00771FF4" w:rsidRDefault="00771FF4">
            <w:pPr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  <w:p w:rsidR="00771FF4" w:rsidRDefault="00771FF4">
            <w:pPr>
              <w:spacing w:after="0"/>
              <w:rPr>
                <w:sz w:val="20"/>
              </w:rPr>
            </w:pPr>
          </w:p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  <w:p w:rsidR="00771FF4" w:rsidRDefault="00771FF4">
            <w:pPr>
              <w:spacing w:after="0"/>
              <w:rPr>
                <w:sz w:val="20"/>
              </w:rPr>
            </w:pPr>
          </w:p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771FF4" w:rsidTr="009D505F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/>
        </w:tc>
      </w:tr>
      <w:tr w:rsidR="00771FF4" w:rsidTr="009D505F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</w:tr>
      <w:tr w:rsidR="00771FF4" w:rsidTr="009D505F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</w:tr>
      <w:tr w:rsidR="00771FF4" w:rsidTr="009D505F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0230084910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1FF4" w:rsidRDefault="00771FF4" w:rsidP="00B74271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236,7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</w:tr>
      <w:tr w:rsidR="00771FF4" w:rsidTr="009D505F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1FF4" w:rsidRDefault="00771FF4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771FF4" w:rsidRDefault="00771FF4">
      <w:pPr>
        <w:spacing w:after="0"/>
        <w:jc w:val="both"/>
      </w:pPr>
    </w:p>
    <w:p w:rsidR="00771FF4" w:rsidRDefault="00771FF4">
      <w:pPr>
        <w:spacing w:after="0"/>
        <w:jc w:val="both"/>
      </w:pPr>
    </w:p>
    <w:p w:rsidR="00771FF4" w:rsidRDefault="00771FF4">
      <w:pPr>
        <w:spacing w:after="0"/>
        <w:jc w:val="both"/>
      </w:pPr>
    </w:p>
    <w:p w:rsidR="00771FF4" w:rsidRDefault="00771FF4">
      <w:pPr>
        <w:spacing w:after="0"/>
        <w:jc w:val="both"/>
      </w:pPr>
      <w:r>
        <w:t>Глава Усть-Питского  сельсовета                                                                                          В. В. Семенов</w:t>
      </w:r>
    </w:p>
    <w:sectPr w:rsidR="00771FF4" w:rsidSect="00774E65">
      <w:headerReference w:type="default" r:id="rId7"/>
      <w:pgSz w:w="16838" w:h="11906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FF4" w:rsidRDefault="00771FF4" w:rsidP="00774E65">
      <w:pPr>
        <w:spacing w:after="0" w:line="240" w:lineRule="auto"/>
      </w:pPr>
      <w:r>
        <w:separator/>
      </w:r>
    </w:p>
  </w:endnote>
  <w:endnote w:type="continuationSeparator" w:id="1">
    <w:p w:rsidR="00771FF4" w:rsidRDefault="00771FF4" w:rsidP="0077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FF4" w:rsidRDefault="00771FF4" w:rsidP="00774E65">
      <w:pPr>
        <w:spacing w:after="0" w:line="240" w:lineRule="auto"/>
      </w:pPr>
      <w:r>
        <w:separator/>
      </w:r>
    </w:p>
  </w:footnote>
  <w:footnote w:type="continuationSeparator" w:id="1">
    <w:p w:rsidR="00771FF4" w:rsidRDefault="00771FF4" w:rsidP="00774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F4" w:rsidRDefault="00771FF4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4</w:t>
    </w:r>
    <w:r>
      <w:rPr>
        <w:sz w:val="18"/>
      </w:rPr>
      <w:fldChar w:fldCharType="end"/>
    </w:r>
  </w:p>
  <w:p w:rsidR="00771FF4" w:rsidRDefault="00771FF4">
    <w:pPr>
      <w:pStyle w:val="Header"/>
      <w:jc w:val="center"/>
    </w:pPr>
  </w:p>
  <w:p w:rsidR="00771FF4" w:rsidRDefault="00771F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F4" w:rsidRDefault="00771FF4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7</w:t>
    </w:r>
    <w:r>
      <w:rPr>
        <w:sz w:val="18"/>
      </w:rPr>
      <w:fldChar w:fldCharType="end"/>
    </w:r>
  </w:p>
  <w:p w:rsidR="00771FF4" w:rsidRDefault="00771FF4">
    <w:pPr>
      <w:pStyle w:val="Header"/>
      <w:jc w:val="center"/>
    </w:pPr>
  </w:p>
  <w:p w:rsidR="00771FF4" w:rsidRDefault="00771F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E65"/>
    <w:rsid w:val="001747DD"/>
    <w:rsid w:val="001B56E3"/>
    <w:rsid w:val="00771FF4"/>
    <w:rsid w:val="00774E65"/>
    <w:rsid w:val="009D505F"/>
    <w:rsid w:val="00B7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E65"/>
    <w:pPr>
      <w:spacing w:after="200" w:line="276" w:lineRule="auto"/>
    </w:pPr>
    <w:rPr>
      <w:color w:val="000000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E65"/>
    <w:pPr>
      <w:spacing w:before="120" w:after="120" w:line="240" w:lineRule="auto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E65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4E65"/>
    <w:pPr>
      <w:spacing w:after="0" w:line="240" w:lineRule="auto"/>
      <w:outlineLvl w:val="2"/>
    </w:pPr>
    <w:rPr>
      <w:rFonts w:ascii="XO Thames" w:hAnsi="XO Thames"/>
      <w:b/>
      <w:i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4E65"/>
    <w:pPr>
      <w:spacing w:before="120" w:after="120" w:line="240" w:lineRule="auto"/>
      <w:outlineLvl w:val="3"/>
    </w:pPr>
    <w:rPr>
      <w:rFonts w:ascii="XO Thames" w:hAnsi="XO Thames"/>
      <w:b/>
      <w:color w:val="595959"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4E65"/>
    <w:pPr>
      <w:spacing w:before="120" w:after="120" w:line="240" w:lineRule="auto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4E65"/>
    <w:rPr>
      <w:rFonts w:ascii="XO Thames" w:hAnsi="XO Thames"/>
      <w:b/>
      <w:sz w:val="32"/>
    </w:rPr>
  </w:style>
  <w:style w:type="character" w:customStyle="1" w:styleId="Heading2Char">
    <w:name w:val="Heading 2 Char"/>
    <w:basedOn w:val="Normal1"/>
    <w:link w:val="Heading2"/>
    <w:uiPriority w:val="99"/>
    <w:locked/>
    <w:rsid w:val="00774E65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74E65"/>
    <w:rPr>
      <w:rFonts w:ascii="XO Thames" w:hAnsi="XO Thames"/>
      <w:b/>
      <w:i/>
      <w:color w:val="00000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74E65"/>
    <w:rPr>
      <w:rFonts w:ascii="XO Thames" w:hAnsi="XO Thames"/>
      <w:b/>
      <w:color w:val="595959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74E65"/>
    <w:rPr>
      <w:rFonts w:ascii="XO Thames" w:hAnsi="XO Thames"/>
      <w:b/>
      <w:color w:val="000000"/>
      <w:sz w:val="22"/>
    </w:rPr>
  </w:style>
  <w:style w:type="character" w:customStyle="1" w:styleId="Normal1">
    <w:name w:val="Normal1"/>
    <w:uiPriority w:val="99"/>
    <w:rsid w:val="00774E65"/>
    <w:rPr>
      <w:sz w:val="28"/>
    </w:rPr>
  </w:style>
  <w:style w:type="paragraph" w:styleId="TOC2">
    <w:name w:val="toc 2"/>
    <w:basedOn w:val="Normal"/>
    <w:next w:val="Normal"/>
    <w:link w:val="TOC2Char"/>
    <w:uiPriority w:val="99"/>
    <w:rsid w:val="00774E65"/>
    <w:pPr>
      <w:spacing w:after="0" w:line="240" w:lineRule="auto"/>
      <w:ind w:left="200"/>
    </w:pPr>
    <w:rPr>
      <w:sz w:val="20"/>
    </w:rPr>
  </w:style>
  <w:style w:type="character" w:customStyle="1" w:styleId="TOC2Char">
    <w:name w:val="TOC 2 Char"/>
    <w:link w:val="TOC2"/>
    <w:uiPriority w:val="99"/>
    <w:locked/>
    <w:rsid w:val="00774E65"/>
    <w:rPr>
      <w:color w:val="000000"/>
      <w:lang w:val="ru-RU" w:eastAsia="ru-RU"/>
    </w:rPr>
  </w:style>
  <w:style w:type="paragraph" w:styleId="TOC4">
    <w:name w:val="toc 4"/>
    <w:basedOn w:val="Normal"/>
    <w:next w:val="Normal"/>
    <w:link w:val="TOC4Char"/>
    <w:uiPriority w:val="99"/>
    <w:rsid w:val="00774E65"/>
    <w:pPr>
      <w:spacing w:after="0" w:line="240" w:lineRule="auto"/>
      <w:ind w:left="600"/>
    </w:pPr>
    <w:rPr>
      <w:sz w:val="20"/>
    </w:rPr>
  </w:style>
  <w:style w:type="character" w:customStyle="1" w:styleId="TOC4Char">
    <w:name w:val="TOC 4 Char"/>
    <w:link w:val="TOC4"/>
    <w:uiPriority w:val="99"/>
    <w:locked/>
    <w:rsid w:val="00774E65"/>
    <w:rPr>
      <w:color w:val="000000"/>
      <w:lang w:val="ru-RU" w:eastAsia="ru-RU"/>
    </w:rPr>
  </w:style>
  <w:style w:type="paragraph" w:styleId="TOC6">
    <w:name w:val="toc 6"/>
    <w:basedOn w:val="Normal"/>
    <w:next w:val="Normal"/>
    <w:link w:val="TOC6Char"/>
    <w:uiPriority w:val="99"/>
    <w:rsid w:val="00774E65"/>
    <w:pPr>
      <w:spacing w:after="0" w:line="240" w:lineRule="auto"/>
      <w:ind w:left="1000"/>
    </w:pPr>
    <w:rPr>
      <w:sz w:val="20"/>
    </w:rPr>
  </w:style>
  <w:style w:type="character" w:customStyle="1" w:styleId="TOC6Char">
    <w:name w:val="TOC 6 Char"/>
    <w:link w:val="TOC6"/>
    <w:uiPriority w:val="99"/>
    <w:locked/>
    <w:rsid w:val="00774E65"/>
    <w:rPr>
      <w:color w:val="000000"/>
      <w:lang w:val="ru-RU" w:eastAsia="ru-RU"/>
    </w:rPr>
  </w:style>
  <w:style w:type="paragraph" w:styleId="TOC7">
    <w:name w:val="toc 7"/>
    <w:basedOn w:val="Normal"/>
    <w:next w:val="Normal"/>
    <w:link w:val="TOC7Char"/>
    <w:uiPriority w:val="99"/>
    <w:rsid w:val="00774E65"/>
    <w:pPr>
      <w:spacing w:after="0" w:line="240" w:lineRule="auto"/>
      <w:ind w:left="1200"/>
    </w:pPr>
    <w:rPr>
      <w:sz w:val="20"/>
    </w:rPr>
  </w:style>
  <w:style w:type="character" w:customStyle="1" w:styleId="TOC7Char">
    <w:name w:val="TOC 7 Char"/>
    <w:link w:val="TOC7"/>
    <w:uiPriority w:val="99"/>
    <w:locked/>
    <w:rsid w:val="00774E65"/>
    <w:rPr>
      <w:color w:val="000000"/>
      <w:lang w:val="ru-RU" w:eastAsia="ru-RU"/>
    </w:rPr>
  </w:style>
  <w:style w:type="paragraph" w:customStyle="1" w:styleId="ConsPlusCell">
    <w:name w:val="ConsPlusCell"/>
    <w:link w:val="ConsPlusCell1"/>
    <w:uiPriority w:val="99"/>
    <w:rsid w:val="00774E65"/>
    <w:pPr>
      <w:widowControl w:val="0"/>
    </w:pPr>
    <w:rPr>
      <w:sz w:val="24"/>
      <w:szCs w:val="20"/>
    </w:rPr>
  </w:style>
  <w:style w:type="character" w:customStyle="1" w:styleId="ConsPlusCell1">
    <w:name w:val="ConsPlusCell1"/>
    <w:link w:val="ConsPlusCell"/>
    <w:uiPriority w:val="99"/>
    <w:locked/>
    <w:rsid w:val="00774E65"/>
    <w:rPr>
      <w:sz w:val="24"/>
    </w:rPr>
  </w:style>
  <w:style w:type="paragraph" w:customStyle="1" w:styleId="DefaultParagraphFont1">
    <w:name w:val="Default Paragraph Font1"/>
    <w:uiPriority w:val="99"/>
    <w:rsid w:val="00774E65"/>
    <w:rPr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74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Normal1"/>
    <w:link w:val="Footer"/>
    <w:uiPriority w:val="99"/>
    <w:locked/>
    <w:rsid w:val="00774E65"/>
    <w:rPr>
      <w:rFonts w:cs="Times New Roman"/>
    </w:rPr>
  </w:style>
  <w:style w:type="paragraph" w:styleId="TOC3">
    <w:name w:val="toc 3"/>
    <w:basedOn w:val="Normal"/>
    <w:next w:val="Normal"/>
    <w:link w:val="TOC3Char"/>
    <w:uiPriority w:val="99"/>
    <w:rsid w:val="00774E65"/>
    <w:pPr>
      <w:spacing w:after="0" w:line="240" w:lineRule="auto"/>
      <w:ind w:left="400"/>
    </w:pPr>
    <w:rPr>
      <w:sz w:val="20"/>
    </w:rPr>
  </w:style>
  <w:style w:type="character" w:customStyle="1" w:styleId="TOC3Char">
    <w:name w:val="TOC 3 Char"/>
    <w:link w:val="TOC3"/>
    <w:uiPriority w:val="99"/>
    <w:locked/>
    <w:rsid w:val="00774E65"/>
    <w:rPr>
      <w:color w:val="000000"/>
      <w:lang w:val="ru-RU" w:eastAsia="ru-RU"/>
    </w:rPr>
  </w:style>
  <w:style w:type="paragraph" w:customStyle="1" w:styleId="Hyperlink1">
    <w:name w:val="Hyperlink1"/>
    <w:link w:val="Hyperlink"/>
    <w:uiPriority w:val="99"/>
    <w:rsid w:val="00774E65"/>
    <w:rPr>
      <w:color w:val="0000FF"/>
      <w:sz w:val="20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774E65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774E65"/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774E65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774E65"/>
    <w:pPr>
      <w:spacing w:after="0" w:line="240" w:lineRule="auto"/>
    </w:pPr>
    <w:rPr>
      <w:rFonts w:ascii="XO Thames" w:hAnsi="XO Thames"/>
      <w:b/>
      <w:sz w:val="20"/>
    </w:rPr>
  </w:style>
  <w:style w:type="character" w:customStyle="1" w:styleId="TOC1Char">
    <w:name w:val="TOC 1 Char"/>
    <w:link w:val="TOC1"/>
    <w:uiPriority w:val="99"/>
    <w:locked/>
    <w:rsid w:val="00774E65"/>
    <w:rPr>
      <w:rFonts w:ascii="XO Thames" w:hAnsi="XO Thames"/>
      <w:b/>
      <w:color w:val="000000"/>
      <w:lang w:val="ru-RU" w:eastAsia="ru-RU"/>
    </w:rPr>
  </w:style>
  <w:style w:type="paragraph" w:customStyle="1" w:styleId="ConsPlusNormal">
    <w:name w:val="ConsPlusNormal"/>
    <w:link w:val="ConsPlusNormal1"/>
    <w:uiPriority w:val="99"/>
    <w:rsid w:val="00774E65"/>
    <w:rPr>
      <w:rFonts w:ascii="Arial" w:hAnsi="Arial"/>
      <w:color w:val="000000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774E65"/>
    <w:rPr>
      <w:rFonts w:ascii="Arial" w:hAnsi="Arial"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774E65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774E65"/>
    <w:rPr>
      <w:rFonts w:ascii="XO Thames" w:hAnsi="XO Thames"/>
      <w:color w:val="000000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774E65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Normal1"/>
    <w:link w:val="BalloonText"/>
    <w:uiPriority w:val="99"/>
    <w:locked/>
    <w:rsid w:val="00774E65"/>
    <w:rPr>
      <w:rFonts w:ascii="Tahoma" w:hAnsi="Tahoma" w:cs="Times New Roman"/>
      <w:sz w:val="16"/>
    </w:rPr>
  </w:style>
  <w:style w:type="paragraph" w:styleId="TOC9">
    <w:name w:val="toc 9"/>
    <w:basedOn w:val="Normal"/>
    <w:next w:val="Normal"/>
    <w:link w:val="TOC9Char"/>
    <w:uiPriority w:val="99"/>
    <w:rsid w:val="00774E65"/>
    <w:pPr>
      <w:spacing w:after="0" w:line="240" w:lineRule="auto"/>
      <w:ind w:left="1600"/>
    </w:pPr>
    <w:rPr>
      <w:sz w:val="20"/>
    </w:rPr>
  </w:style>
  <w:style w:type="character" w:customStyle="1" w:styleId="TOC9Char">
    <w:name w:val="TOC 9 Char"/>
    <w:link w:val="TOC9"/>
    <w:uiPriority w:val="99"/>
    <w:locked/>
    <w:rsid w:val="00774E65"/>
    <w:rPr>
      <w:color w:val="000000"/>
      <w:lang w:val="ru-RU" w:eastAsia="ru-RU"/>
    </w:rPr>
  </w:style>
  <w:style w:type="paragraph" w:styleId="TOC8">
    <w:name w:val="toc 8"/>
    <w:basedOn w:val="Normal"/>
    <w:next w:val="Normal"/>
    <w:link w:val="TOC8Char"/>
    <w:uiPriority w:val="99"/>
    <w:rsid w:val="00774E65"/>
    <w:pPr>
      <w:spacing w:after="0" w:line="240" w:lineRule="auto"/>
      <w:ind w:left="1400"/>
    </w:pPr>
    <w:rPr>
      <w:sz w:val="20"/>
    </w:rPr>
  </w:style>
  <w:style w:type="character" w:customStyle="1" w:styleId="TOC8Char">
    <w:name w:val="TOC 8 Char"/>
    <w:link w:val="TOC8"/>
    <w:uiPriority w:val="99"/>
    <w:locked/>
    <w:rsid w:val="00774E65"/>
    <w:rPr>
      <w:color w:val="000000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774E65"/>
    <w:pPr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basedOn w:val="Normal1"/>
    <w:link w:val="ListParagraph"/>
    <w:uiPriority w:val="99"/>
    <w:locked/>
    <w:rsid w:val="00774E65"/>
    <w:rPr>
      <w:rFonts w:ascii="Calibri" w:hAnsi="Calibri" w:cs="Times New Roman"/>
      <w:sz w:val="22"/>
    </w:rPr>
  </w:style>
  <w:style w:type="paragraph" w:styleId="Header">
    <w:name w:val="header"/>
    <w:basedOn w:val="Normal"/>
    <w:link w:val="HeaderChar"/>
    <w:uiPriority w:val="99"/>
    <w:rsid w:val="00774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Normal1"/>
    <w:link w:val="Header"/>
    <w:uiPriority w:val="99"/>
    <w:locked/>
    <w:rsid w:val="00774E65"/>
    <w:rPr>
      <w:rFonts w:cs="Times New Roman"/>
    </w:rPr>
  </w:style>
  <w:style w:type="paragraph" w:styleId="TOC5">
    <w:name w:val="toc 5"/>
    <w:basedOn w:val="Normal"/>
    <w:next w:val="Normal"/>
    <w:link w:val="TOC5Char"/>
    <w:uiPriority w:val="99"/>
    <w:rsid w:val="00774E65"/>
    <w:pPr>
      <w:spacing w:after="0" w:line="240" w:lineRule="auto"/>
      <w:ind w:left="800"/>
    </w:pPr>
    <w:rPr>
      <w:sz w:val="20"/>
    </w:rPr>
  </w:style>
  <w:style w:type="character" w:customStyle="1" w:styleId="TOC5Char">
    <w:name w:val="TOC 5 Char"/>
    <w:link w:val="TOC5"/>
    <w:uiPriority w:val="99"/>
    <w:locked/>
    <w:rsid w:val="00774E65"/>
    <w:rPr>
      <w:color w:val="000000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774E65"/>
    <w:pPr>
      <w:spacing w:after="0" w:line="240" w:lineRule="auto"/>
    </w:pPr>
    <w:rPr>
      <w:rFonts w:ascii="XO Thames" w:hAnsi="XO Thames"/>
      <w:i/>
      <w:color w:val="616161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74E6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Normal"/>
    <w:link w:val="toc101"/>
    <w:uiPriority w:val="99"/>
    <w:rsid w:val="00774E65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774E65"/>
    <w:rPr>
      <w:color w:val="000000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774E65"/>
    <w:pPr>
      <w:spacing w:after="0" w:line="240" w:lineRule="auto"/>
    </w:pPr>
    <w:rPr>
      <w:rFonts w:ascii="XO Thames" w:hAnsi="XO Thames"/>
      <w:b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74E65"/>
    <w:rPr>
      <w:rFonts w:ascii="XO Thames" w:hAnsi="XO Thames"/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1542</Words>
  <Characters>8792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2</cp:revision>
  <dcterms:created xsi:type="dcterms:W3CDTF">2023-11-13T08:04:00Z</dcterms:created>
  <dcterms:modified xsi:type="dcterms:W3CDTF">2023-11-13T08:07:00Z</dcterms:modified>
</cp:coreProperties>
</file>